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54" w:rsidRDefault="005A2954" w:rsidP="005A2954">
      <w:pPr>
        <w:pStyle w:val="Titolo4"/>
        <w:spacing w:before="0" w:after="0" w:line="360" w:lineRule="auto"/>
        <w:ind w:left="0" w:right="0"/>
        <w:rPr>
          <w:rFonts w:ascii="Verdana" w:hAnsi="Verdana"/>
          <w:i w:val="0"/>
          <w:sz w:val="20"/>
        </w:rPr>
      </w:pPr>
      <w:bookmarkStart w:id="0" w:name="_GoBack"/>
      <w:bookmarkEnd w:id="0"/>
      <w:r>
        <w:t xml:space="preserve">           </w:t>
      </w:r>
      <w:r>
        <w:rPr>
          <w:rFonts w:ascii="Verdana" w:hAnsi="Verdana"/>
          <w:i w:val="0"/>
          <w:sz w:val="20"/>
        </w:rPr>
        <w:tab/>
      </w:r>
      <w:r>
        <w:rPr>
          <w:rFonts w:ascii="Verdana" w:hAnsi="Verdana"/>
          <w:i w:val="0"/>
          <w:sz w:val="20"/>
        </w:rPr>
        <w:tab/>
      </w:r>
      <w:r>
        <w:rPr>
          <w:rFonts w:ascii="Verdana" w:hAnsi="Verdana"/>
          <w:i w:val="0"/>
          <w:sz w:val="20"/>
        </w:rPr>
        <w:tab/>
      </w:r>
      <w:r>
        <w:rPr>
          <w:rFonts w:ascii="Verdana" w:hAnsi="Verdana"/>
          <w:i w:val="0"/>
          <w:sz w:val="20"/>
        </w:rPr>
        <w:tab/>
      </w:r>
      <w:r>
        <w:rPr>
          <w:rFonts w:ascii="Verdana" w:hAnsi="Verdana"/>
          <w:i w:val="0"/>
          <w:sz w:val="20"/>
        </w:rPr>
        <w:tab/>
      </w:r>
      <w:r>
        <w:rPr>
          <w:rFonts w:ascii="Verdana" w:hAnsi="Verdana"/>
          <w:i w:val="0"/>
          <w:sz w:val="20"/>
        </w:rPr>
        <w:tab/>
      </w:r>
      <w:r>
        <w:rPr>
          <w:rFonts w:ascii="Verdana" w:hAnsi="Verdana"/>
          <w:i w:val="0"/>
          <w:sz w:val="20"/>
        </w:rPr>
        <w:tab/>
      </w:r>
    </w:p>
    <w:p w:rsidR="005A2954" w:rsidRDefault="005A2954" w:rsidP="005A2954">
      <w:pPr>
        <w:pStyle w:val="Titolo4"/>
        <w:spacing w:before="0" w:after="0" w:line="360" w:lineRule="auto"/>
        <w:ind w:left="0" w:right="0"/>
        <w:rPr>
          <w:rFonts w:ascii="Verdana" w:hAnsi="Verdana"/>
          <w:i w:val="0"/>
          <w:sz w:val="20"/>
        </w:rPr>
      </w:pPr>
    </w:p>
    <w:p w:rsidR="005A2954" w:rsidRDefault="005A2954" w:rsidP="005A2954">
      <w:pPr>
        <w:pStyle w:val="Titolo4"/>
        <w:spacing w:before="0" w:after="0" w:line="360" w:lineRule="auto"/>
        <w:ind w:left="0" w:right="0"/>
        <w:rPr>
          <w:rFonts w:ascii="Verdana" w:hAnsi="Verdana"/>
          <w:i w:val="0"/>
          <w:sz w:val="20"/>
        </w:rPr>
      </w:pPr>
    </w:p>
    <w:p w:rsidR="005A2954" w:rsidRDefault="000E41BA" w:rsidP="000E41BA">
      <w:pPr>
        <w:pStyle w:val="Titolo4"/>
        <w:spacing w:before="0" w:after="0" w:line="360" w:lineRule="auto"/>
        <w:ind w:left="4956" w:right="0" w:firstLine="708"/>
        <w:rPr>
          <w:rFonts w:ascii="Verdana" w:hAnsi="Verdana"/>
          <w:i w:val="0"/>
          <w:sz w:val="20"/>
        </w:rPr>
      </w:pPr>
      <w:r>
        <w:rPr>
          <w:rFonts w:ascii="Verdana" w:hAnsi="Verdana"/>
          <w:i w:val="0"/>
          <w:sz w:val="20"/>
        </w:rPr>
        <w:t xml:space="preserve">  </w:t>
      </w:r>
      <w:r w:rsidR="005A2954">
        <w:rPr>
          <w:rFonts w:ascii="Verdana" w:hAnsi="Verdana"/>
          <w:i w:val="0"/>
          <w:sz w:val="20"/>
        </w:rPr>
        <w:t>Deliberazione n.</w:t>
      </w:r>
      <w:r w:rsidR="00A914D7">
        <w:rPr>
          <w:rFonts w:ascii="Verdana" w:hAnsi="Verdana"/>
          <w:i w:val="0"/>
          <w:sz w:val="20"/>
        </w:rPr>
        <w:t>149</w:t>
      </w:r>
      <w:r w:rsidR="005A2954">
        <w:rPr>
          <w:rFonts w:ascii="Verdana" w:hAnsi="Verdana"/>
          <w:i w:val="0"/>
          <w:sz w:val="20"/>
        </w:rPr>
        <w:t>/2015/PRSE</w:t>
      </w:r>
    </w:p>
    <w:p w:rsidR="005A2954" w:rsidRDefault="005A2954" w:rsidP="005A2954">
      <w:pPr>
        <w:pStyle w:val="Titolo4"/>
        <w:spacing w:before="0" w:after="0" w:line="360" w:lineRule="auto"/>
        <w:ind w:left="0" w:right="0"/>
        <w:rPr>
          <w:rFonts w:ascii="Verdana" w:hAnsi="Verdana"/>
          <w:i w:val="0"/>
          <w:sz w:val="20"/>
        </w:rPr>
      </w:pPr>
      <w:r>
        <w:rPr>
          <w:rFonts w:ascii="Verdana" w:hAnsi="Verdana"/>
          <w:i w:val="0"/>
          <w:sz w:val="20"/>
        </w:rPr>
        <w:t>REPUBBLICA ITALIANA</w:t>
      </w:r>
    </w:p>
    <w:p w:rsidR="005A2954" w:rsidRPr="00457CA4" w:rsidRDefault="005A2954" w:rsidP="005A2954">
      <w:pPr>
        <w:pStyle w:val="Titolo5"/>
        <w:spacing w:line="360" w:lineRule="auto"/>
        <w:ind w:left="0" w:right="0"/>
        <w:rPr>
          <w:rFonts w:ascii="Verdana" w:hAnsi="Verdana"/>
          <w:i w:val="0"/>
          <w:sz w:val="20"/>
          <w:szCs w:val="20"/>
        </w:rPr>
      </w:pPr>
      <w:r w:rsidRPr="00457CA4">
        <w:rPr>
          <w:rFonts w:ascii="Verdana" w:hAnsi="Verdana"/>
          <w:i w:val="0"/>
          <w:sz w:val="20"/>
          <w:szCs w:val="20"/>
        </w:rPr>
        <w:t>La Corte dei conti</w:t>
      </w:r>
    </w:p>
    <w:p w:rsidR="005A2954" w:rsidRPr="00457CA4" w:rsidRDefault="005A2954" w:rsidP="005A2954">
      <w:pPr>
        <w:spacing w:line="360" w:lineRule="auto"/>
        <w:jc w:val="center"/>
        <w:rPr>
          <w:rFonts w:ascii="Verdana" w:eastAsia="Arial Unicode MS" w:hAnsi="Verdana"/>
          <w:b/>
          <w:sz w:val="20"/>
          <w:szCs w:val="20"/>
        </w:rPr>
      </w:pPr>
      <w:r w:rsidRPr="00457CA4">
        <w:rPr>
          <w:rFonts w:ascii="Verdana" w:eastAsia="Arial Unicode MS" w:hAnsi="Verdana"/>
          <w:sz w:val="20"/>
          <w:szCs w:val="20"/>
        </w:rPr>
        <w:t>Sezione di controllo per la Regione siciliana</w:t>
      </w:r>
    </w:p>
    <w:p w:rsidR="005A2954" w:rsidRPr="00457CA4" w:rsidRDefault="005A2954" w:rsidP="005A2954">
      <w:pPr>
        <w:spacing w:line="360" w:lineRule="auto"/>
        <w:ind w:firstLine="180"/>
        <w:rPr>
          <w:rFonts w:ascii="Verdana" w:eastAsia="Arial Unicode MS" w:hAnsi="Verdana"/>
          <w:sz w:val="20"/>
          <w:szCs w:val="20"/>
        </w:rPr>
      </w:pPr>
      <w:r w:rsidRPr="00457CA4">
        <w:rPr>
          <w:rFonts w:ascii="Verdana" w:eastAsia="Arial Unicode MS" w:hAnsi="Verdana"/>
          <w:sz w:val="20"/>
          <w:szCs w:val="20"/>
        </w:rPr>
        <w:t xml:space="preserve">nell’adunanza </w:t>
      </w:r>
      <w:r w:rsidRPr="00DC3964">
        <w:rPr>
          <w:rFonts w:ascii="Verdana" w:eastAsia="Arial Unicode MS" w:hAnsi="Verdana"/>
          <w:sz w:val="20"/>
          <w:szCs w:val="20"/>
        </w:rPr>
        <w:t>del 18</w:t>
      </w:r>
      <w:r w:rsidR="00BE5B29" w:rsidRPr="00DC3964">
        <w:rPr>
          <w:rFonts w:ascii="Verdana" w:eastAsia="Arial Unicode MS" w:hAnsi="Verdana"/>
          <w:sz w:val="20"/>
          <w:szCs w:val="20"/>
        </w:rPr>
        <w:t xml:space="preserve"> </w:t>
      </w:r>
      <w:r w:rsidRPr="00DC3964">
        <w:rPr>
          <w:rFonts w:ascii="Verdana" w:eastAsia="Arial Unicode MS" w:hAnsi="Verdana"/>
          <w:sz w:val="20"/>
          <w:szCs w:val="20"/>
        </w:rPr>
        <w:t>dicembre</w:t>
      </w:r>
      <w:r w:rsidRPr="00457CA4">
        <w:rPr>
          <w:rFonts w:ascii="Verdana" w:eastAsia="Arial Unicode MS" w:hAnsi="Verdana"/>
          <w:sz w:val="20"/>
          <w:szCs w:val="20"/>
        </w:rPr>
        <w:t xml:space="preserve"> 20</w:t>
      </w:r>
      <w:r>
        <w:rPr>
          <w:rFonts w:ascii="Verdana" w:eastAsia="Arial Unicode MS" w:hAnsi="Verdana"/>
          <w:sz w:val="20"/>
          <w:szCs w:val="20"/>
        </w:rPr>
        <w:t>14</w:t>
      </w:r>
      <w:r w:rsidRPr="00457CA4">
        <w:rPr>
          <w:rFonts w:ascii="Verdana" w:eastAsia="Arial Unicode MS" w:hAnsi="Verdana"/>
          <w:sz w:val="20"/>
          <w:szCs w:val="20"/>
        </w:rPr>
        <w:t>, composta dai seguenti magistrati:</w:t>
      </w:r>
      <w:r w:rsidR="00BE5B29">
        <w:rPr>
          <w:rFonts w:ascii="Verdana" w:eastAsia="Arial Unicode MS" w:hAnsi="Verdana"/>
          <w:sz w:val="20"/>
          <w:szCs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2531"/>
        <w:gridCol w:w="4536"/>
      </w:tblGrid>
      <w:tr w:rsidR="005A2954" w:rsidRPr="00457CA4" w:rsidTr="0015797B">
        <w:trPr>
          <w:trHeight w:val="338"/>
        </w:trPr>
        <w:tc>
          <w:tcPr>
            <w:tcW w:w="2531" w:type="dxa"/>
          </w:tcPr>
          <w:p w:rsidR="005A2954" w:rsidRPr="00457CA4" w:rsidRDefault="005A2954" w:rsidP="000E41BA">
            <w:pPr>
              <w:pStyle w:val="Titolo7"/>
              <w:spacing w:line="360" w:lineRule="auto"/>
              <w:rPr>
                <w:rFonts w:ascii="Verdana" w:hAnsi="Verdana"/>
                <w:i w:val="0"/>
                <w:sz w:val="20"/>
                <w:szCs w:val="20"/>
              </w:rPr>
            </w:pPr>
            <w:r>
              <w:rPr>
                <w:rFonts w:ascii="Verdana" w:hAnsi="Verdana"/>
                <w:i w:val="0"/>
                <w:sz w:val="20"/>
                <w:szCs w:val="20"/>
              </w:rPr>
              <w:t>Stefano Siragusa</w:t>
            </w:r>
          </w:p>
          <w:p w:rsidR="005A2954" w:rsidRDefault="005A2954" w:rsidP="000E41BA">
            <w:pPr>
              <w:pStyle w:val="Titolo8"/>
              <w:spacing w:line="360" w:lineRule="auto"/>
              <w:ind w:firstLine="0"/>
              <w:rPr>
                <w:rFonts w:ascii="Verdana" w:hAnsi="Verdana"/>
                <w:i w:val="0"/>
                <w:sz w:val="20"/>
                <w:szCs w:val="20"/>
              </w:rPr>
            </w:pPr>
            <w:r>
              <w:rPr>
                <w:rFonts w:ascii="Verdana" w:hAnsi="Verdana"/>
                <w:i w:val="0"/>
                <w:sz w:val="20"/>
                <w:szCs w:val="20"/>
              </w:rPr>
              <w:t>Daniele</w:t>
            </w:r>
            <w:r w:rsidR="000F6F03">
              <w:rPr>
                <w:rFonts w:ascii="Verdana" w:hAnsi="Verdana"/>
                <w:i w:val="0"/>
                <w:sz w:val="20"/>
                <w:szCs w:val="20"/>
              </w:rPr>
              <w:t xml:space="preserve"> Caprino </w:t>
            </w:r>
          </w:p>
          <w:p w:rsidR="005A2954" w:rsidRPr="00457CA4" w:rsidRDefault="005A2954" w:rsidP="000E41BA">
            <w:pPr>
              <w:pStyle w:val="Titolo8"/>
              <w:spacing w:line="360" w:lineRule="auto"/>
              <w:ind w:firstLine="0"/>
              <w:rPr>
                <w:rFonts w:ascii="Verdana" w:hAnsi="Verdana"/>
                <w:i w:val="0"/>
                <w:sz w:val="20"/>
                <w:szCs w:val="20"/>
              </w:rPr>
            </w:pPr>
            <w:r>
              <w:rPr>
                <w:rFonts w:ascii="Verdana" w:hAnsi="Verdana"/>
                <w:i w:val="0"/>
                <w:sz w:val="20"/>
                <w:szCs w:val="20"/>
              </w:rPr>
              <w:t>Marco Fratini</w:t>
            </w:r>
          </w:p>
        </w:tc>
        <w:tc>
          <w:tcPr>
            <w:tcW w:w="4536" w:type="dxa"/>
          </w:tcPr>
          <w:p w:rsidR="005A2954" w:rsidRPr="00457CA4" w:rsidRDefault="005A2954" w:rsidP="000E41BA">
            <w:pPr>
              <w:spacing w:after="0" w:line="360" w:lineRule="auto"/>
              <w:rPr>
                <w:rFonts w:ascii="Verdana" w:eastAsia="Arial Unicode MS" w:hAnsi="Verdana"/>
                <w:sz w:val="20"/>
                <w:szCs w:val="20"/>
              </w:rPr>
            </w:pPr>
            <w:r w:rsidRPr="00457CA4">
              <w:rPr>
                <w:rFonts w:ascii="Verdana" w:eastAsia="Arial Unicode MS" w:hAnsi="Verdana"/>
                <w:sz w:val="20"/>
                <w:szCs w:val="20"/>
              </w:rPr>
              <w:t>- Presidente</w:t>
            </w:r>
          </w:p>
          <w:p w:rsidR="005A2954" w:rsidRPr="00457CA4" w:rsidRDefault="005A2954" w:rsidP="000E41BA">
            <w:pPr>
              <w:spacing w:after="0" w:line="360" w:lineRule="auto"/>
              <w:rPr>
                <w:rFonts w:ascii="Verdana" w:eastAsia="Arial Unicode MS" w:hAnsi="Verdana"/>
                <w:sz w:val="20"/>
                <w:szCs w:val="20"/>
              </w:rPr>
            </w:pPr>
            <w:r w:rsidRPr="00457CA4">
              <w:rPr>
                <w:rFonts w:ascii="Verdana" w:eastAsia="Arial Unicode MS" w:hAnsi="Verdana"/>
                <w:sz w:val="20"/>
                <w:szCs w:val="20"/>
              </w:rPr>
              <w:t>- Consigliere</w:t>
            </w:r>
            <w:r>
              <w:rPr>
                <w:rFonts w:ascii="Verdana" w:eastAsia="Arial Unicode MS" w:hAnsi="Verdana"/>
                <w:sz w:val="20"/>
                <w:szCs w:val="20"/>
              </w:rPr>
              <w:t xml:space="preserve"> - relatore</w:t>
            </w:r>
          </w:p>
          <w:p w:rsidR="005A2954" w:rsidRPr="00457CA4" w:rsidRDefault="005A2954" w:rsidP="000E41BA">
            <w:pPr>
              <w:spacing w:line="360" w:lineRule="auto"/>
              <w:rPr>
                <w:rFonts w:ascii="Verdana" w:eastAsia="Arial Unicode MS" w:hAnsi="Verdana"/>
                <w:sz w:val="20"/>
                <w:szCs w:val="20"/>
              </w:rPr>
            </w:pPr>
            <w:r w:rsidRPr="00457CA4">
              <w:rPr>
                <w:rFonts w:ascii="Verdana" w:eastAsia="Arial Unicode MS" w:hAnsi="Verdana"/>
                <w:sz w:val="20"/>
                <w:szCs w:val="20"/>
              </w:rPr>
              <w:t xml:space="preserve">- </w:t>
            </w:r>
            <w:r>
              <w:rPr>
                <w:rFonts w:ascii="Verdana" w:eastAsia="Arial Unicode MS" w:hAnsi="Verdana"/>
                <w:sz w:val="20"/>
                <w:szCs w:val="20"/>
              </w:rPr>
              <w:t>Referendario</w:t>
            </w:r>
          </w:p>
        </w:tc>
      </w:tr>
    </w:tbl>
    <w:p w:rsidR="005A2954" w:rsidRDefault="005A2954" w:rsidP="005A2954">
      <w:pPr>
        <w:spacing w:line="360" w:lineRule="auto"/>
        <w:jc w:val="center"/>
        <w:rPr>
          <w:rFonts w:ascii="Verdana" w:eastAsia="Arial Unicode MS" w:hAnsi="Verdana"/>
          <w:sz w:val="20"/>
          <w:szCs w:val="20"/>
        </w:rPr>
      </w:pPr>
    </w:p>
    <w:p w:rsidR="005A2954" w:rsidRPr="00457CA4" w:rsidRDefault="005A2954" w:rsidP="005A2954">
      <w:pPr>
        <w:spacing w:line="360" w:lineRule="auto"/>
        <w:jc w:val="center"/>
        <w:rPr>
          <w:rFonts w:ascii="Verdana" w:eastAsia="Arial Unicode MS" w:hAnsi="Verdana"/>
          <w:sz w:val="20"/>
          <w:szCs w:val="20"/>
        </w:rPr>
      </w:pPr>
      <w:r w:rsidRPr="00457CA4">
        <w:rPr>
          <w:rFonts w:ascii="Verdana" w:eastAsia="Arial Unicode MS" w:hAnsi="Verdana"/>
          <w:sz w:val="20"/>
          <w:szCs w:val="20"/>
        </w:rPr>
        <w:t>******</w:t>
      </w:r>
    </w:p>
    <w:p w:rsidR="005A2954" w:rsidRDefault="005A2954" w:rsidP="005A2954">
      <w:pPr>
        <w:spacing w:line="360" w:lineRule="auto"/>
        <w:ind w:firstLine="720"/>
        <w:rPr>
          <w:rFonts w:ascii="Verdana" w:eastAsia="Arial Unicode MS" w:hAnsi="Verdana"/>
          <w:sz w:val="20"/>
          <w:szCs w:val="20"/>
        </w:rPr>
      </w:pPr>
    </w:p>
    <w:p w:rsidR="005A2954" w:rsidRPr="00457CA4" w:rsidRDefault="005A2954" w:rsidP="000E41BA">
      <w:pPr>
        <w:spacing w:after="0" w:line="360" w:lineRule="auto"/>
        <w:ind w:firstLine="720"/>
        <w:rPr>
          <w:rFonts w:ascii="Verdana" w:eastAsia="Arial Unicode MS" w:hAnsi="Verdana"/>
          <w:sz w:val="20"/>
          <w:szCs w:val="20"/>
        </w:rPr>
      </w:pPr>
      <w:r w:rsidRPr="00457CA4">
        <w:rPr>
          <w:rFonts w:ascii="Verdana" w:eastAsia="Arial Unicode MS" w:hAnsi="Verdana"/>
          <w:sz w:val="20"/>
          <w:szCs w:val="20"/>
        </w:rPr>
        <w:t>VISTO il R.D. 12 luglio 1934, n. 1214 e successive modificazioni;</w:t>
      </w:r>
    </w:p>
    <w:p w:rsidR="005A2954" w:rsidRPr="00457CA4" w:rsidRDefault="005A2954" w:rsidP="000E41BA">
      <w:pPr>
        <w:spacing w:after="0" w:line="360" w:lineRule="auto"/>
        <w:ind w:firstLine="720"/>
        <w:rPr>
          <w:rFonts w:ascii="Verdana" w:eastAsia="Arial Unicode MS" w:hAnsi="Verdana"/>
          <w:sz w:val="20"/>
          <w:szCs w:val="20"/>
        </w:rPr>
      </w:pPr>
      <w:r w:rsidRPr="00457CA4">
        <w:rPr>
          <w:rFonts w:ascii="Verdana" w:eastAsia="Arial Unicode MS" w:hAnsi="Verdana"/>
          <w:sz w:val="20"/>
          <w:szCs w:val="20"/>
        </w:rPr>
        <w:t>VISTA la legge 14 gennaio 1994, n. 20 e successive modificazioni;</w:t>
      </w:r>
    </w:p>
    <w:p w:rsidR="005A2954" w:rsidRPr="00457CA4" w:rsidRDefault="005A2954" w:rsidP="000E41BA">
      <w:pPr>
        <w:spacing w:after="0" w:line="360" w:lineRule="auto"/>
        <w:ind w:left="180" w:firstLine="540"/>
        <w:jc w:val="both"/>
        <w:rPr>
          <w:rFonts w:ascii="Verdana" w:eastAsia="Arial Unicode MS" w:hAnsi="Verdana"/>
          <w:sz w:val="20"/>
          <w:szCs w:val="20"/>
        </w:rPr>
      </w:pPr>
      <w:r w:rsidRPr="00457CA4">
        <w:rPr>
          <w:rFonts w:ascii="Verdana" w:eastAsia="Arial Unicode MS" w:hAnsi="Verdana"/>
          <w:sz w:val="20"/>
          <w:szCs w:val="20"/>
        </w:rPr>
        <w:t>VISTO l'art. 2 del decreto legislativo 6 maggio 1948, n. 655, nel testo sostituito dal decreto legislativo 18 giugno 1999, n. 200;</w:t>
      </w:r>
    </w:p>
    <w:p w:rsidR="005A2954" w:rsidRPr="00457CA4" w:rsidRDefault="005A2954" w:rsidP="000E41BA">
      <w:pPr>
        <w:spacing w:after="0" w:line="360" w:lineRule="auto"/>
        <w:ind w:firstLine="720"/>
        <w:jc w:val="both"/>
        <w:rPr>
          <w:rFonts w:ascii="Verdana" w:eastAsia="Arial Unicode MS" w:hAnsi="Verdana"/>
          <w:sz w:val="20"/>
          <w:szCs w:val="20"/>
        </w:rPr>
      </w:pPr>
      <w:r w:rsidRPr="00457CA4">
        <w:rPr>
          <w:rFonts w:ascii="Verdana" w:eastAsia="Arial Unicode MS" w:hAnsi="Verdana"/>
          <w:sz w:val="20"/>
          <w:szCs w:val="20"/>
        </w:rPr>
        <w:t>VISTO il decreto legislativo 18 agosto 2000, n. 267 e successive modificazioni;</w:t>
      </w:r>
    </w:p>
    <w:p w:rsidR="005A2954" w:rsidRPr="00457CA4" w:rsidRDefault="005A2954" w:rsidP="005A2954">
      <w:pPr>
        <w:pStyle w:val="Testodelblocco"/>
        <w:spacing w:after="0"/>
        <w:ind w:right="0"/>
        <w:jc w:val="both"/>
        <w:rPr>
          <w:rFonts w:ascii="Verdana" w:hAnsi="Verdana"/>
          <w:i w:val="0"/>
          <w:sz w:val="20"/>
          <w:szCs w:val="20"/>
        </w:rPr>
      </w:pPr>
      <w:r>
        <w:rPr>
          <w:rFonts w:ascii="Verdana" w:hAnsi="Verdana"/>
          <w:i w:val="0"/>
          <w:sz w:val="20"/>
          <w:szCs w:val="20"/>
        </w:rPr>
        <w:t>VISTO l’art. 1, commi 166</w:t>
      </w:r>
      <w:r w:rsidR="00BE5B29">
        <w:rPr>
          <w:rFonts w:ascii="Verdana" w:hAnsi="Verdana"/>
          <w:i w:val="0"/>
          <w:sz w:val="20"/>
          <w:szCs w:val="20"/>
        </w:rPr>
        <w:t xml:space="preserve"> </w:t>
      </w:r>
      <w:r w:rsidRPr="00DC3964">
        <w:rPr>
          <w:rFonts w:ascii="Verdana" w:hAnsi="Verdana"/>
          <w:i w:val="0"/>
          <w:sz w:val="20"/>
          <w:szCs w:val="20"/>
        </w:rPr>
        <w:t>e</w:t>
      </w:r>
      <w:r>
        <w:rPr>
          <w:rFonts w:ascii="Verdana" w:hAnsi="Verdana"/>
          <w:i w:val="0"/>
          <w:sz w:val="20"/>
          <w:szCs w:val="20"/>
        </w:rPr>
        <w:t xml:space="preserve"> </w:t>
      </w:r>
      <w:r w:rsidRPr="00457CA4">
        <w:rPr>
          <w:rFonts w:ascii="Verdana" w:hAnsi="Verdana"/>
          <w:i w:val="0"/>
          <w:sz w:val="20"/>
          <w:szCs w:val="20"/>
        </w:rPr>
        <w:t>167</w:t>
      </w:r>
      <w:r>
        <w:rPr>
          <w:rFonts w:ascii="Verdana" w:hAnsi="Verdana"/>
          <w:i w:val="0"/>
          <w:sz w:val="20"/>
          <w:szCs w:val="20"/>
        </w:rPr>
        <w:t>,</w:t>
      </w:r>
      <w:r w:rsidRPr="00457CA4">
        <w:rPr>
          <w:rFonts w:ascii="Verdana" w:hAnsi="Verdana"/>
          <w:i w:val="0"/>
          <w:sz w:val="20"/>
          <w:szCs w:val="20"/>
        </w:rPr>
        <w:t xml:space="preserve"> della legge 23 dicembre 2005, n. 266 (legge finanziaria 2006);</w:t>
      </w:r>
    </w:p>
    <w:p w:rsidR="005A2954" w:rsidRDefault="005A2954" w:rsidP="005A2954">
      <w:pPr>
        <w:pStyle w:val="Testodelblocco"/>
        <w:spacing w:after="0"/>
        <w:ind w:right="0"/>
        <w:jc w:val="both"/>
        <w:rPr>
          <w:rFonts w:ascii="Verdana" w:hAnsi="Verdana"/>
          <w:i w:val="0"/>
          <w:sz w:val="20"/>
          <w:szCs w:val="20"/>
        </w:rPr>
      </w:pPr>
      <w:r w:rsidRPr="00457CA4">
        <w:rPr>
          <w:rFonts w:ascii="Verdana" w:hAnsi="Verdana"/>
          <w:i w:val="0"/>
          <w:sz w:val="20"/>
          <w:szCs w:val="20"/>
        </w:rPr>
        <w:t>VISTO, in particolare, l’art. 1, comma 610, della legge 23 dicembre 2005, n. 266 (legge finanziaria 2006), il quale espressamente prevede che le disposizioni della predetta legge “sono applicabili nelle regioni a statuto speciale e nelle province autonome di Trento e di Bolzano compatibilmente con le norme dei rispettivi statuti”;</w:t>
      </w:r>
    </w:p>
    <w:p w:rsidR="005A2954" w:rsidRPr="00457CA4" w:rsidRDefault="005A2954" w:rsidP="005A2954">
      <w:pPr>
        <w:pStyle w:val="Testodelblocco"/>
        <w:spacing w:after="0"/>
        <w:ind w:right="0"/>
        <w:jc w:val="both"/>
        <w:rPr>
          <w:rFonts w:ascii="Verdana" w:hAnsi="Verdana"/>
          <w:i w:val="0"/>
          <w:sz w:val="20"/>
          <w:szCs w:val="20"/>
        </w:rPr>
      </w:pPr>
      <w:r>
        <w:rPr>
          <w:rFonts w:ascii="Verdana" w:hAnsi="Verdana"/>
          <w:i w:val="0"/>
          <w:sz w:val="20"/>
          <w:szCs w:val="20"/>
        </w:rPr>
        <w:t xml:space="preserve">VISTO l’art. 148 bis del D. Lgs. n. 267/2000, introdotto dall’art. 3 del D.L. </w:t>
      </w:r>
      <w:r w:rsidRPr="00C867F5">
        <w:rPr>
          <w:rFonts w:ascii="Verdana" w:hAnsi="Verdana"/>
          <w:i w:val="0"/>
          <w:sz w:val="20"/>
          <w:szCs w:val="20"/>
        </w:rPr>
        <w:t>10 ottobre 2012, n. 174, convertito dalla legge 7 dicembre 2012, n. 213</w:t>
      </w:r>
      <w:r>
        <w:rPr>
          <w:rFonts w:ascii="Verdana" w:hAnsi="Verdana"/>
          <w:i w:val="0"/>
          <w:sz w:val="20"/>
          <w:szCs w:val="20"/>
        </w:rPr>
        <w:t xml:space="preserve">; </w:t>
      </w:r>
    </w:p>
    <w:p w:rsidR="005A2954" w:rsidRPr="00457CA4" w:rsidRDefault="005A2954" w:rsidP="005A2954">
      <w:pPr>
        <w:pStyle w:val="Testodelblocco"/>
        <w:spacing w:after="0"/>
        <w:ind w:right="0"/>
        <w:jc w:val="both"/>
        <w:rPr>
          <w:rFonts w:ascii="Verdana" w:hAnsi="Verdana"/>
          <w:i w:val="0"/>
          <w:sz w:val="20"/>
          <w:szCs w:val="20"/>
        </w:rPr>
      </w:pPr>
      <w:r w:rsidRPr="00457CA4">
        <w:rPr>
          <w:rFonts w:ascii="Verdana" w:hAnsi="Verdana"/>
          <w:i w:val="0"/>
          <w:sz w:val="20"/>
          <w:szCs w:val="20"/>
        </w:rPr>
        <w:t xml:space="preserve">VISTA deliberazione di questa sezione di controllo n. </w:t>
      </w:r>
      <w:r>
        <w:rPr>
          <w:rFonts w:ascii="Verdana" w:hAnsi="Verdana"/>
          <w:i w:val="0"/>
          <w:sz w:val="20"/>
          <w:szCs w:val="20"/>
        </w:rPr>
        <w:t>196</w:t>
      </w:r>
      <w:r w:rsidRPr="00457CA4">
        <w:rPr>
          <w:rFonts w:ascii="Verdana" w:hAnsi="Verdana"/>
          <w:i w:val="0"/>
          <w:sz w:val="20"/>
          <w:szCs w:val="20"/>
        </w:rPr>
        <w:t>/201</w:t>
      </w:r>
      <w:r>
        <w:rPr>
          <w:rFonts w:ascii="Verdana" w:hAnsi="Verdana"/>
          <w:i w:val="0"/>
          <w:sz w:val="20"/>
          <w:szCs w:val="20"/>
        </w:rPr>
        <w:t>3</w:t>
      </w:r>
      <w:r w:rsidRPr="00457CA4">
        <w:rPr>
          <w:rFonts w:ascii="Verdana" w:hAnsi="Verdana"/>
          <w:i w:val="0"/>
          <w:sz w:val="20"/>
          <w:szCs w:val="20"/>
        </w:rPr>
        <w:t xml:space="preserve">/INPR avente ad oggetto: “Linee guida cui devono attenersi, ai sensi dell’art.1, commi 166 e 167, della legge 23 dicembre 2005, n.266 gli organi di revisione economico-finanziaria degli enti locali aventi sede in Sicilia nella predisposizione della relazione sul rendiconto </w:t>
      </w:r>
      <w:r>
        <w:rPr>
          <w:rFonts w:ascii="Verdana" w:hAnsi="Verdana"/>
          <w:i w:val="0"/>
          <w:sz w:val="20"/>
          <w:szCs w:val="20"/>
        </w:rPr>
        <w:t xml:space="preserve">di gestione </w:t>
      </w:r>
      <w:r w:rsidRPr="00457CA4">
        <w:rPr>
          <w:rFonts w:ascii="Verdana" w:hAnsi="Verdana"/>
          <w:i w:val="0"/>
          <w:sz w:val="20"/>
          <w:szCs w:val="20"/>
        </w:rPr>
        <w:t>20</w:t>
      </w:r>
      <w:r>
        <w:rPr>
          <w:rFonts w:ascii="Verdana" w:hAnsi="Verdana"/>
          <w:i w:val="0"/>
          <w:sz w:val="20"/>
          <w:szCs w:val="20"/>
        </w:rPr>
        <w:t>12</w:t>
      </w:r>
      <w:r w:rsidRPr="00457CA4">
        <w:rPr>
          <w:rFonts w:ascii="Verdana" w:hAnsi="Verdana"/>
          <w:i w:val="0"/>
          <w:sz w:val="20"/>
          <w:szCs w:val="20"/>
        </w:rPr>
        <w:t>”;</w:t>
      </w:r>
    </w:p>
    <w:p w:rsidR="005A2954" w:rsidRPr="00457CA4" w:rsidRDefault="005A2954" w:rsidP="000E41BA">
      <w:pPr>
        <w:spacing w:after="0" w:line="360" w:lineRule="auto"/>
        <w:ind w:left="180" w:firstLine="540"/>
        <w:jc w:val="both"/>
        <w:rPr>
          <w:rFonts w:ascii="Verdana" w:eastAsia="Arial Unicode MS" w:hAnsi="Verdana"/>
          <w:sz w:val="20"/>
          <w:szCs w:val="20"/>
        </w:rPr>
      </w:pPr>
      <w:r w:rsidRPr="00F03905">
        <w:rPr>
          <w:rFonts w:ascii="Verdana" w:eastAsia="Arial Unicode MS" w:hAnsi="Verdana"/>
          <w:sz w:val="20"/>
          <w:szCs w:val="20"/>
        </w:rPr>
        <w:t>VISTA la nota del Presidente della Sezione di controllo per la Regio</w:t>
      </w:r>
      <w:r>
        <w:rPr>
          <w:rFonts w:ascii="Verdana" w:eastAsia="Arial Unicode MS" w:hAnsi="Verdana"/>
          <w:sz w:val="20"/>
          <w:szCs w:val="20"/>
        </w:rPr>
        <w:t>ne siciliana del 19 agosto 2013</w:t>
      </w:r>
      <w:r w:rsidRPr="00457CA4">
        <w:rPr>
          <w:rFonts w:ascii="Verdana" w:eastAsia="Arial Unicode MS" w:hAnsi="Verdana"/>
          <w:sz w:val="20"/>
          <w:szCs w:val="20"/>
        </w:rPr>
        <w:t xml:space="preserve">, con la quale è stata inoltrata al </w:t>
      </w:r>
      <w:r>
        <w:rPr>
          <w:rFonts w:ascii="Verdana" w:eastAsia="Arial Unicode MS" w:hAnsi="Verdana"/>
          <w:sz w:val="20"/>
          <w:szCs w:val="20"/>
        </w:rPr>
        <w:t>Sindaco e</w:t>
      </w:r>
      <w:r w:rsidRPr="00457CA4">
        <w:rPr>
          <w:rFonts w:ascii="Verdana" w:eastAsia="Arial Unicode MS" w:hAnsi="Verdana"/>
          <w:sz w:val="20"/>
          <w:szCs w:val="20"/>
        </w:rPr>
        <w:t xml:space="preserve"> al Presidente del Collegio dei revisori la predetta deliberazione di questa Sezione di controllo, nonché i relativi questionari ai fini </w:t>
      </w:r>
      <w:r w:rsidRPr="00457CA4">
        <w:rPr>
          <w:rFonts w:ascii="Verdana" w:eastAsia="Arial Unicode MS" w:hAnsi="Verdana"/>
          <w:sz w:val="20"/>
          <w:szCs w:val="20"/>
        </w:rPr>
        <w:lastRenderedPageBreak/>
        <w:t xml:space="preserve">della loro ritrasmissione entro trenta giorni </w:t>
      </w:r>
      <w:r>
        <w:rPr>
          <w:rFonts w:ascii="Verdana" w:eastAsia="Arial Unicode MS" w:hAnsi="Verdana"/>
          <w:sz w:val="20"/>
          <w:szCs w:val="20"/>
        </w:rPr>
        <w:t>dalla ricezione del questionario, o</w:t>
      </w:r>
      <w:r w:rsidRPr="00457CA4">
        <w:rPr>
          <w:rFonts w:ascii="Verdana" w:eastAsia="Arial Unicode MS" w:hAnsi="Verdana"/>
          <w:sz w:val="20"/>
          <w:szCs w:val="20"/>
        </w:rPr>
        <w:t xml:space="preserve"> dall’approvazione del </w:t>
      </w:r>
      <w:r>
        <w:rPr>
          <w:rFonts w:ascii="Verdana" w:eastAsia="Arial Unicode MS" w:hAnsi="Verdana"/>
          <w:sz w:val="20"/>
          <w:szCs w:val="20"/>
        </w:rPr>
        <w:t>rendiconto, se successiva</w:t>
      </w:r>
      <w:r w:rsidRPr="00457CA4">
        <w:rPr>
          <w:rFonts w:ascii="Verdana" w:eastAsia="Arial Unicode MS" w:hAnsi="Verdana"/>
          <w:sz w:val="20"/>
          <w:szCs w:val="20"/>
        </w:rPr>
        <w:t>;</w:t>
      </w:r>
    </w:p>
    <w:p w:rsidR="005A2954" w:rsidRPr="00457CA4" w:rsidRDefault="005A2954" w:rsidP="005A2954">
      <w:pPr>
        <w:pStyle w:val="Corpodeltesto3"/>
        <w:ind w:left="180" w:firstLine="540"/>
        <w:rPr>
          <w:szCs w:val="20"/>
        </w:rPr>
      </w:pPr>
      <w:r>
        <w:rPr>
          <w:szCs w:val="20"/>
        </w:rPr>
        <w:t>ESAMINATA la relazione</w:t>
      </w:r>
      <w:r w:rsidR="000E41BA">
        <w:rPr>
          <w:szCs w:val="20"/>
        </w:rPr>
        <w:t xml:space="preserve"> </w:t>
      </w:r>
      <w:r>
        <w:rPr>
          <w:szCs w:val="20"/>
        </w:rPr>
        <w:t>sul rendiconto 2012, compilata</w:t>
      </w:r>
      <w:r w:rsidRPr="00457CA4">
        <w:rPr>
          <w:szCs w:val="20"/>
        </w:rPr>
        <w:t xml:space="preserve"> dall’Organo di revisione contabile del</w:t>
      </w:r>
      <w:r>
        <w:rPr>
          <w:szCs w:val="20"/>
        </w:rPr>
        <w:t xml:space="preserve"> comune di </w:t>
      </w:r>
      <w:r w:rsidR="000E41BA">
        <w:rPr>
          <w:szCs w:val="20"/>
        </w:rPr>
        <w:t>Noto</w:t>
      </w:r>
      <w:r>
        <w:rPr>
          <w:szCs w:val="20"/>
        </w:rPr>
        <w:t xml:space="preserve"> (SR), e la successiva documentazione istruttoria</w:t>
      </w:r>
      <w:r w:rsidRPr="00457CA4">
        <w:rPr>
          <w:szCs w:val="20"/>
        </w:rPr>
        <w:t>;</w:t>
      </w:r>
    </w:p>
    <w:p w:rsidR="005A2954" w:rsidRDefault="005A2954" w:rsidP="005A2954">
      <w:pPr>
        <w:pStyle w:val="Corpodeltesto3"/>
        <w:ind w:left="180" w:firstLine="540"/>
        <w:rPr>
          <w:szCs w:val="20"/>
        </w:rPr>
      </w:pPr>
      <w:r w:rsidRPr="00457CA4">
        <w:rPr>
          <w:szCs w:val="20"/>
        </w:rPr>
        <w:t>VISTA l'ordinanza del Presidente della Sezione di controllo</w:t>
      </w:r>
      <w:r>
        <w:rPr>
          <w:szCs w:val="20"/>
        </w:rPr>
        <w:t xml:space="preserve"> n. 4</w:t>
      </w:r>
      <w:r w:rsidR="000E41BA">
        <w:rPr>
          <w:szCs w:val="20"/>
        </w:rPr>
        <w:t>1</w:t>
      </w:r>
      <w:r>
        <w:rPr>
          <w:szCs w:val="20"/>
        </w:rPr>
        <w:t>2/2014/CONTR</w:t>
      </w:r>
      <w:r w:rsidR="000E41BA">
        <w:rPr>
          <w:szCs w:val="20"/>
        </w:rPr>
        <w:t xml:space="preserve"> </w:t>
      </w:r>
      <w:r>
        <w:rPr>
          <w:szCs w:val="20"/>
        </w:rPr>
        <w:t xml:space="preserve">del       10 dicembre 2014 </w:t>
      </w:r>
      <w:r w:rsidRPr="00457CA4">
        <w:rPr>
          <w:szCs w:val="20"/>
        </w:rPr>
        <w:t>con la quale la Sezione d</w:t>
      </w:r>
      <w:r w:rsidR="000E41BA">
        <w:rPr>
          <w:szCs w:val="20"/>
        </w:rPr>
        <w:t>i</w:t>
      </w:r>
      <w:r w:rsidRPr="00457CA4">
        <w:rPr>
          <w:szCs w:val="20"/>
        </w:rPr>
        <w:t xml:space="preserve"> controllo è stata convocata per gli adempimenti di cui al menzionato</w:t>
      </w:r>
      <w:r>
        <w:rPr>
          <w:szCs w:val="20"/>
        </w:rPr>
        <w:t xml:space="preserve"> art. 148 bis del D. Lgs. n. 267/2000</w:t>
      </w:r>
      <w:r w:rsidRPr="00457CA4">
        <w:rPr>
          <w:szCs w:val="20"/>
        </w:rPr>
        <w:t>;</w:t>
      </w:r>
    </w:p>
    <w:p w:rsidR="005A2954" w:rsidRDefault="005A2954" w:rsidP="005A2954">
      <w:pPr>
        <w:spacing w:line="360" w:lineRule="auto"/>
        <w:ind w:firstLine="720"/>
        <w:rPr>
          <w:rFonts w:ascii="Verdana" w:eastAsia="Arial Unicode MS" w:hAnsi="Verdana"/>
          <w:sz w:val="20"/>
          <w:szCs w:val="20"/>
        </w:rPr>
      </w:pPr>
    </w:p>
    <w:p w:rsidR="005A2954" w:rsidRDefault="005A2954" w:rsidP="005A2954">
      <w:pPr>
        <w:spacing w:before="120" w:line="360" w:lineRule="auto"/>
        <w:jc w:val="center"/>
        <w:rPr>
          <w:rFonts w:ascii="Verdana" w:eastAsia="Arial Unicode MS" w:hAnsi="Verdana"/>
          <w:sz w:val="20"/>
          <w:szCs w:val="20"/>
        </w:rPr>
      </w:pPr>
      <w:r w:rsidRPr="00457CA4">
        <w:rPr>
          <w:rFonts w:ascii="Verdana" w:eastAsia="Arial Unicode MS" w:hAnsi="Verdana"/>
          <w:sz w:val="20"/>
          <w:szCs w:val="20"/>
        </w:rPr>
        <w:t>******</w:t>
      </w:r>
    </w:p>
    <w:p w:rsidR="005A2954" w:rsidRDefault="005A2954" w:rsidP="005A2954">
      <w:pPr>
        <w:pStyle w:val="Corpodeltesto3"/>
        <w:ind w:left="180" w:firstLine="540"/>
        <w:rPr>
          <w:szCs w:val="20"/>
        </w:rPr>
      </w:pPr>
    </w:p>
    <w:p w:rsidR="005A2954" w:rsidRPr="001E0B9E" w:rsidRDefault="005A2954" w:rsidP="005A2954">
      <w:pPr>
        <w:pStyle w:val="Corpodeltesto3"/>
        <w:ind w:left="180" w:firstLine="540"/>
        <w:rPr>
          <w:szCs w:val="20"/>
        </w:rPr>
      </w:pPr>
      <w:r w:rsidRPr="001E0B9E">
        <w:rPr>
          <w:szCs w:val="20"/>
        </w:rPr>
        <w:t>L’art. 1, commi 166 e 167, della legge n. 266 del 2005 (legge finanziaria per l’anno 2006) ha previsto, ai fini della tutela dell’unità economica della Repubblica e del coordinamento della finanza pubblica, l’obbligo, a carico degli Organi di revisione degli enti locali, di trasmettere alla Corte dei conti una relazione sul bilancio di previsione dell’esercizio di competenza e sul rendiconto dell’esercizio medesimo, formulata sulla base dei criteri e delle linee guida definite dalla Corte.</w:t>
      </w:r>
    </w:p>
    <w:p w:rsidR="005A2954" w:rsidRDefault="005A2954" w:rsidP="00905ED6">
      <w:pPr>
        <w:spacing w:after="0" w:line="360" w:lineRule="auto"/>
        <w:ind w:left="180" w:firstLine="540"/>
        <w:jc w:val="both"/>
        <w:rPr>
          <w:rFonts w:ascii="Verdana" w:eastAsia="Arial Unicode MS" w:hAnsi="Verdana"/>
          <w:sz w:val="20"/>
          <w:szCs w:val="20"/>
        </w:rPr>
      </w:pPr>
    </w:p>
    <w:p w:rsidR="005A2954" w:rsidRPr="001E0B9E" w:rsidRDefault="005A2954" w:rsidP="005A2954">
      <w:pPr>
        <w:spacing w:line="360" w:lineRule="auto"/>
        <w:ind w:left="180" w:firstLine="540"/>
        <w:jc w:val="both"/>
        <w:rPr>
          <w:rFonts w:ascii="Verdana" w:eastAsia="Arial Unicode MS" w:hAnsi="Verdana"/>
          <w:sz w:val="20"/>
          <w:szCs w:val="20"/>
        </w:rPr>
      </w:pPr>
      <w:r w:rsidRPr="001E0B9E">
        <w:rPr>
          <w:rFonts w:ascii="Verdana" w:eastAsia="Arial Unicode MS" w:hAnsi="Verdana"/>
          <w:sz w:val="20"/>
          <w:szCs w:val="20"/>
        </w:rPr>
        <w:t xml:space="preserve">Al riguardo occorre evidenziare la peculiare natura di tale forma di controllo, volto a rappresentare agli organi elettivi, nell’interesse del singolo ente e della comunità nazionale, la reale situazione finanziaria emersa all’esito del procedimento di verifica effettuato sulla base delle relazioni inviate dall’Organo di revisione affinché gli stessi possano attivare le necessarie misure correttive. Esso si colloca nell’ambito materiale del coordinamento della finanza pubblica, in riferimento agli articoli 97, primo comma, 28, 81 e 119 della Costituzione, che la Corte dei </w:t>
      </w:r>
      <w:r w:rsidR="00DC3964">
        <w:rPr>
          <w:rFonts w:ascii="Verdana" w:eastAsia="Arial Unicode MS" w:hAnsi="Verdana"/>
          <w:sz w:val="20"/>
          <w:szCs w:val="20"/>
        </w:rPr>
        <w:t>c</w:t>
      </w:r>
      <w:r w:rsidRPr="001E0B9E">
        <w:rPr>
          <w:rFonts w:ascii="Verdana" w:eastAsia="Arial Unicode MS" w:hAnsi="Verdana"/>
          <w:sz w:val="20"/>
          <w:szCs w:val="20"/>
        </w:rPr>
        <w:t xml:space="preserve">onti contribuisce ad assicurare  quale organo terzo ed imparziale di garanzia dell’equilibrio economico-finanziario del settore pubblico e della corretta gestione delle risorse collettive, in quanto al servizio dello Stato-ordinamento, vieppiù a seguito del novellato quadro scaturito dalle legge costituzionale n.1/2012 e dalla legge c.d. rinforzata n. 213/2012.  </w:t>
      </w:r>
    </w:p>
    <w:p w:rsidR="005A2954" w:rsidRDefault="005A2954" w:rsidP="00905ED6">
      <w:pPr>
        <w:spacing w:after="0" w:line="360" w:lineRule="auto"/>
        <w:ind w:left="180" w:firstLine="540"/>
        <w:jc w:val="both"/>
        <w:rPr>
          <w:rFonts w:ascii="Verdana" w:eastAsia="Arial Unicode MS" w:hAnsi="Verdana"/>
          <w:sz w:val="20"/>
          <w:szCs w:val="20"/>
        </w:rPr>
      </w:pPr>
    </w:p>
    <w:p w:rsidR="005A2954" w:rsidRPr="001E0B9E" w:rsidRDefault="005A2954" w:rsidP="00905ED6">
      <w:pPr>
        <w:spacing w:after="0" w:line="360" w:lineRule="auto"/>
        <w:ind w:left="180" w:firstLine="540"/>
        <w:jc w:val="both"/>
        <w:rPr>
          <w:rFonts w:ascii="Verdana" w:eastAsia="Arial Unicode MS" w:hAnsi="Verdana"/>
          <w:sz w:val="20"/>
          <w:szCs w:val="20"/>
        </w:rPr>
      </w:pPr>
      <w:r w:rsidRPr="001E0B9E">
        <w:rPr>
          <w:rFonts w:ascii="Verdana" w:eastAsia="Arial Unicode MS" w:hAnsi="Verdana"/>
          <w:sz w:val="20"/>
          <w:szCs w:val="20"/>
        </w:rPr>
        <w:t xml:space="preserve">La giurisprudenza costituzionale ha precisato contenuti e fondamento di tale peculiare forma di controllo anche a seguito dei successivi interventi legislativi (cfr. da ultimo la sentenza n. 39/2014 che richiama altresì le sentenze n. 60 del 2013, n. 198 del 2012, n. 179 del 2007), affermando che il controllo finanziario attribuito alla Corte dei conti e, in particolare, quello che questa è chiamata a svolgere sui bilanci preventivi e sui rendiconti consuntivi degli enti locali e degli enti del Servizio sanitario nazionale, va ascritto alla categoria del sindacato di legalità e di regolarità – da intendere come verifica della conformità delle (complessive) gestioni di detti enti alle regole contabili e finanziarie – e ha lo </w:t>
      </w:r>
      <w:r w:rsidRPr="001E0B9E">
        <w:rPr>
          <w:rFonts w:ascii="Verdana" w:eastAsia="Arial Unicode MS" w:hAnsi="Verdana"/>
          <w:sz w:val="20"/>
          <w:szCs w:val="20"/>
        </w:rPr>
        <w:lastRenderedPageBreak/>
        <w:t xml:space="preserve">scopo, in una prospettiva non più statica (com’era il tradizionale controllo di legalità-regolarità), ma dinamica, di finalizzare il confronto tra fattispecie e parametro normativo </w:t>
      </w:r>
      <w:r w:rsidRPr="00DC3964">
        <w:rPr>
          <w:rFonts w:ascii="Verdana" w:eastAsia="Arial Unicode MS" w:hAnsi="Verdana"/>
          <w:sz w:val="20"/>
          <w:szCs w:val="20"/>
        </w:rPr>
        <w:t>all’</w:t>
      </w:r>
      <w:r w:rsidRPr="00DC3964">
        <w:rPr>
          <w:rFonts w:ascii="Verdana" w:eastAsia="Arial Unicode MS" w:hAnsi="Verdana"/>
          <w:bCs/>
          <w:sz w:val="20"/>
          <w:szCs w:val="20"/>
        </w:rPr>
        <w:t>adozione di effettive misure correttive</w:t>
      </w:r>
      <w:r w:rsidRPr="00DC3964">
        <w:rPr>
          <w:rFonts w:ascii="Verdana" w:eastAsia="Arial Unicode MS" w:hAnsi="Verdana"/>
          <w:sz w:val="20"/>
          <w:szCs w:val="20"/>
        </w:rPr>
        <w:t>,</w:t>
      </w:r>
      <w:r w:rsidR="00BE5B29">
        <w:rPr>
          <w:rFonts w:ascii="Verdana" w:eastAsia="Arial Unicode MS" w:hAnsi="Verdana"/>
          <w:sz w:val="20"/>
          <w:szCs w:val="20"/>
        </w:rPr>
        <w:t xml:space="preserve"> </w:t>
      </w:r>
      <w:r w:rsidRPr="001E0B9E">
        <w:rPr>
          <w:rFonts w:ascii="Verdana" w:eastAsia="Arial Unicode MS" w:hAnsi="Verdana"/>
          <w:sz w:val="20"/>
          <w:szCs w:val="20"/>
        </w:rPr>
        <w:t xml:space="preserve">funzionali a garantire l’equilibrio del bilancio e il rispetto delle regole contabili e finanziarie.  </w:t>
      </w:r>
    </w:p>
    <w:p w:rsidR="005A2954" w:rsidRDefault="005A2954" w:rsidP="005A2954">
      <w:pPr>
        <w:spacing w:line="360" w:lineRule="auto"/>
        <w:ind w:left="180" w:firstLine="540"/>
        <w:jc w:val="both"/>
        <w:rPr>
          <w:rFonts w:ascii="Verdana" w:eastAsia="Arial Unicode MS" w:hAnsi="Verdana"/>
          <w:sz w:val="20"/>
          <w:szCs w:val="20"/>
        </w:rPr>
      </w:pPr>
    </w:p>
    <w:p w:rsidR="005A2954" w:rsidRPr="001E0B9E" w:rsidRDefault="005A2954" w:rsidP="00905ED6">
      <w:pPr>
        <w:spacing w:after="0" w:line="360" w:lineRule="auto"/>
        <w:ind w:left="180" w:firstLine="540"/>
        <w:jc w:val="both"/>
        <w:rPr>
          <w:rFonts w:ascii="Verdana" w:eastAsia="Arial Unicode MS" w:hAnsi="Verdana"/>
          <w:sz w:val="20"/>
          <w:szCs w:val="20"/>
        </w:rPr>
      </w:pPr>
      <w:r w:rsidRPr="001E0B9E">
        <w:rPr>
          <w:rFonts w:ascii="Verdana" w:eastAsia="Arial Unicode MS" w:hAnsi="Verdana"/>
          <w:sz w:val="20"/>
          <w:szCs w:val="20"/>
        </w:rPr>
        <w:t xml:space="preserve">Da ultimo, l’art. 148 bis del d.lgs. 18 agosto 2000 n. 267 (TUEL), introdotto dall’art. 3, comma 1, lettera e) del decreto legge 10 ottobre 2012 n. 174, convertito nella legge 213/2012 (recante il rafforzamento del quadro dei controlli sulla gestione finanziaria degli enti) prevede che in caso di accertamento, da parte della Sezione, di squilibri economico-finanziari, della mancata copertura di spese, della violazione di norme finalizzate a garantire la regolarità della gestione finanziaria o del mancato rispetto degli obiettivi posti con il patto di stabilità interno, è fatto obbligo agli enti destinatari di adottare, entro 60 giorni dalla comunicazione del deposito della pronuncia di accertamento, i provvedimenti idonei a rimuovere le irregolarità ed a ripristinare gli equilibri di bilancio, da trasmettere alla Sezione per le verifiche di competenza. Quanto al contenuto del controllo è, peraltro, espressamente stabilito che </w:t>
      </w:r>
      <w:r w:rsidRPr="001E0B9E">
        <w:rPr>
          <w:rFonts w:ascii="Verdana" w:hAnsi="Verdana"/>
          <w:sz w:val="20"/>
          <w:szCs w:val="20"/>
        </w:rPr>
        <w:t xml:space="preserve">ai fini della suddetta verifica le Sezioni della Corte dei conti accertano altresì che i rendiconti degli enti locali tengano </w:t>
      </w:r>
      <w:r w:rsidRPr="00DC3964">
        <w:rPr>
          <w:rFonts w:ascii="Verdana" w:hAnsi="Verdana"/>
          <w:sz w:val="20"/>
          <w:szCs w:val="20"/>
        </w:rPr>
        <w:t>conto anche delle partecipazioni in società controllate</w:t>
      </w:r>
      <w:r w:rsidR="00BE5B29" w:rsidRPr="001E0B9E">
        <w:rPr>
          <w:rFonts w:ascii="Verdana" w:eastAsia="Arial Unicode MS" w:hAnsi="Verdana"/>
          <w:sz w:val="20"/>
          <w:szCs w:val="20"/>
        </w:rPr>
        <w:t xml:space="preserve"> </w:t>
      </w:r>
      <w:r w:rsidRPr="001E0B9E">
        <w:rPr>
          <w:rFonts w:ascii="Verdana" w:hAnsi="Verdana"/>
          <w:sz w:val="20"/>
          <w:szCs w:val="20"/>
        </w:rPr>
        <w:t>e alle quali è affidata la gestione di servizi pubblici per la collettività locale e di servizi strumentali all'ente.</w:t>
      </w:r>
    </w:p>
    <w:p w:rsidR="005A2954" w:rsidRDefault="005A2954" w:rsidP="005A2954">
      <w:pPr>
        <w:spacing w:line="360" w:lineRule="auto"/>
        <w:ind w:left="180" w:firstLine="540"/>
        <w:jc w:val="both"/>
        <w:rPr>
          <w:rFonts w:ascii="Verdana" w:hAnsi="Verdana"/>
          <w:sz w:val="20"/>
          <w:szCs w:val="20"/>
        </w:rPr>
      </w:pPr>
    </w:p>
    <w:p w:rsidR="005A2954" w:rsidRPr="001E0B9E" w:rsidRDefault="005A2954" w:rsidP="00905ED6">
      <w:pPr>
        <w:spacing w:after="0" w:line="360" w:lineRule="auto"/>
        <w:ind w:left="180" w:firstLine="540"/>
        <w:jc w:val="both"/>
        <w:rPr>
          <w:rFonts w:ascii="Verdana" w:eastAsia="Arial Unicode MS" w:hAnsi="Verdana"/>
          <w:sz w:val="20"/>
          <w:szCs w:val="20"/>
        </w:rPr>
      </w:pPr>
      <w:r w:rsidRPr="001E0B9E">
        <w:rPr>
          <w:rFonts w:ascii="Verdana" w:hAnsi="Verdana"/>
          <w:sz w:val="20"/>
          <w:szCs w:val="20"/>
        </w:rPr>
        <w:t xml:space="preserve">Nei casi più gravi, l’inosservanza del citato obbligo di conformazione, per la mancata trasmissione dei provvedimenti correttivi o per la inadeguatezza degli stessi, ha l’effetto di precludere all’ente inadempiente l’attuazione dei programmi di spesa per i quali è stata accertata la mancata copertura o l’insussistenza della relativa sostenibilità finanziaria. </w:t>
      </w:r>
    </w:p>
    <w:p w:rsidR="005A2954" w:rsidRDefault="005A2954" w:rsidP="005A2954">
      <w:pPr>
        <w:spacing w:line="360" w:lineRule="auto"/>
        <w:ind w:left="180" w:firstLine="540"/>
        <w:jc w:val="both"/>
        <w:rPr>
          <w:rFonts w:ascii="Verdana" w:hAnsi="Verdana"/>
          <w:sz w:val="20"/>
          <w:szCs w:val="20"/>
        </w:rPr>
      </w:pPr>
    </w:p>
    <w:p w:rsidR="005A2954" w:rsidRPr="001E0B9E" w:rsidRDefault="005A2954" w:rsidP="005A2954">
      <w:pPr>
        <w:spacing w:line="360" w:lineRule="auto"/>
        <w:ind w:left="180" w:firstLine="540"/>
        <w:jc w:val="both"/>
        <w:rPr>
          <w:rFonts w:ascii="Verdana" w:hAnsi="Verdana"/>
          <w:sz w:val="20"/>
          <w:szCs w:val="20"/>
        </w:rPr>
      </w:pPr>
      <w:r w:rsidRPr="001E0B9E">
        <w:rPr>
          <w:rFonts w:ascii="Verdana" w:hAnsi="Verdana"/>
          <w:sz w:val="20"/>
          <w:szCs w:val="20"/>
        </w:rPr>
        <w:t xml:space="preserve">Si tratta di </w:t>
      </w:r>
      <w:r w:rsidRPr="001E0B9E">
        <w:rPr>
          <w:rFonts w:ascii="Verdana" w:hAnsi="Verdana"/>
          <w:i/>
          <w:sz w:val="20"/>
          <w:szCs w:val="20"/>
        </w:rPr>
        <w:t xml:space="preserve">“effetti − attribuiti […] alle pronunce di accertamento della Corte dei conti − chiaramente cogenti e, nel caso di inosservanza degli obblighi a questi imposti, inibitori, </w:t>
      </w:r>
      <w:r w:rsidRPr="001E0B9E">
        <w:rPr>
          <w:rFonts w:ascii="Verdana" w:hAnsi="Verdana"/>
          <w:i/>
          <w:iCs/>
          <w:sz w:val="20"/>
          <w:szCs w:val="20"/>
        </w:rPr>
        <w:t>pro parte</w:t>
      </w:r>
      <w:r w:rsidRPr="001E0B9E">
        <w:rPr>
          <w:rFonts w:ascii="Verdana" w:hAnsi="Verdana"/>
          <w:i/>
          <w:sz w:val="20"/>
          <w:szCs w:val="20"/>
        </w:rPr>
        <w:t>, dell’efficacia dei bilanci da essi approvati”</w:t>
      </w:r>
      <w:r w:rsidRPr="001E0B9E">
        <w:rPr>
          <w:rFonts w:ascii="Verdana" w:hAnsi="Verdana"/>
          <w:sz w:val="20"/>
          <w:szCs w:val="20"/>
        </w:rPr>
        <w:t xml:space="preserve"> (cfr. Corte costituzionale, sentenza n. 39/2014) la cui attribuzione ad un organo magistratuale terzo e indipendente </w:t>
      </w:r>
      <w:r w:rsidRPr="001E0B9E">
        <w:rPr>
          <w:rFonts w:ascii="Verdana" w:hAnsi="Verdana"/>
          <w:i/>
          <w:sz w:val="20"/>
          <w:szCs w:val="20"/>
        </w:rPr>
        <w:t>“si giustifica in ragione dei caratteri di neutralità e indipendenza del controllo di legittimità della Corte dei conti (sentenza n. 226 del 1976)”</w:t>
      </w:r>
      <w:r w:rsidRPr="001E0B9E">
        <w:rPr>
          <w:rFonts w:ascii="Verdana" w:hAnsi="Verdana"/>
          <w:sz w:val="20"/>
          <w:szCs w:val="20"/>
        </w:rPr>
        <w:t xml:space="preserve"> onde </w:t>
      </w:r>
      <w:r w:rsidRPr="001E0B9E">
        <w:rPr>
          <w:rFonts w:ascii="Verdana" w:hAnsi="Verdana"/>
          <w:i/>
          <w:sz w:val="20"/>
          <w:szCs w:val="20"/>
        </w:rPr>
        <w:t>“prevenire o contrastare gestioni contabili non corrette, suscettibili di alterare l’equilibrio del bilancio (art. 81 Cost.) e di riverberare tali disfunzioni sul conto consolidato delle pubbliche amministrazioni, vanificando conseguentemente la funzione di coordinamento dello Stato finalizzata al rispetto degli obblighi comunitari”</w:t>
      </w:r>
      <w:r w:rsidRPr="001E0B9E">
        <w:rPr>
          <w:rFonts w:ascii="Verdana" w:hAnsi="Verdana"/>
          <w:sz w:val="20"/>
          <w:szCs w:val="20"/>
        </w:rPr>
        <w:t xml:space="preserve"> (cfr.</w:t>
      </w:r>
      <w:r>
        <w:rPr>
          <w:rFonts w:ascii="Verdana" w:hAnsi="Verdana"/>
          <w:sz w:val="20"/>
          <w:szCs w:val="20"/>
        </w:rPr>
        <w:t xml:space="preserve"> Corte Costituzionale n. 40/2014</w:t>
      </w:r>
      <w:r w:rsidRPr="001E0B9E">
        <w:rPr>
          <w:rFonts w:ascii="Verdana" w:hAnsi="Verdana"/>
          <w:sz w:val="20"/>
          <w:szCs w:val="20"/>
        </w:rPr>
        <w:t>).</w:t>
      </w:r>
    </w:p>
    <w:p w:rsidR="005A2954" w:rsidRDefault="005A2954" w:rsidP="005A2954">
      <w:pPr>
        <w:spacing w:line="360" w:lineRule="auto"/>
        <w:ind w:left="180" w:firstLine="540"/>
        <w:jc w:val="both"/>
        <w:rPr>
          <w:rFonts w:ascii="Verdana" w:hAnsi="Verdana"/>
          <w:sz w:val="20"/>
          <w:szCs w:val="20"/>
        </w:rPr>
      </w:pPr>
      <w:r w:rsidRPr="001E0B9E">
        <w:rPr>
          <w:rFonts w:ascii="Verdana" w:hAnsi="Verdana"/>
          <w:sz w:val="20"/>
          <w:szCs w:val="20"/>
        </w:rPr>
        <w:t>Nel caso in cui, invece, sussist</w:t>
      </w:r>
      <w:r>
        <w:rPr>
          <w:rFonts w:ascii="Verdana" w:hAnsi="Verdana"/>
          <w:sz w:val="20"/>
          <w:szCs w:val="20"/>
        </w:rPr>
        <w:t>a</w:t>
      </w:r>
      <w:r w:rsidRPr="001E0B9E">
        <w:rPr>
          <w:rFonts w:ascii="Verdana" w:hAnsi="Verdana"/>
          <w:sz w:val="20"/>
          <w:szCs w:val="20"/>
        </w:rPr>
        <w:t xml:space="preserve">no squilibri meno rilevanti o irregolarità non così gravi da richiedere l’adozione della pronuncia di accertamento ex art. 148 bis TUEL, l’esito del </w:t>
      </w:r>
      <w:r w:rsidRPr="001E0B9E">
        <w:rPr>
          <w:rFonts w:ascii="Verdana" w:hAnsi="Verdana"/>
          <w:sz w:val="20"/>
          <w:szCs w:val="20"/>
        </w:rPr>
        <w:lastRenderedPageBreak/>
        <w:t>controllo demandato alla Corte può, comunque, comportare eventuali segnalazioni, in chiave collaborativa, come previsto dall’articolo 7, comma 7 della legge 131/2003, pur sempre volte a favorire la riconduzione delle criticità emerse entro i parametri della sana e corretta gestione finanziaria al fine di salvaguardare, anche per gli esercizi successivi, il rispetto dei necessari equilibri di bilancio e dei principali vincoli posti a salvaguardia delle esigenze di coordinamento della finanza pubblica. Anche in tal caso l’ente interessato è tenuto a valutare le segnalazioni ricevute ed a porre in essere interventi idonei per evitare l’insorgenza di situazioni di deficitarietà e di squilibrio ovvero per addivenire al superamento delle stesse.</w:t>
      </w:r>
    </w:p>
    <w:p w:rsidR="005A2954" w:rsidRDefault="005A2954" w:rsidP="005A2954">
      <w:pPr>
        <w:spacing w:line="360" w:lineRule="auto"/>
        <w:ind w:left="180" w:firstLine="540"/>
        <w:jc w:val="both"/>
        <w:rPr>
          <w:rFonts w:ascii="Verdana" w:hAnsi="Verdana"/>
          <w:sz w:val="20"/>
          <w:szCs w:val="20"/>
        </w:rPr>
      </w:pPr>
    </w:p>
    <w:p w:rsidR="005A2954" w:rsidRPr="00932FEE" w:rsidRDefault="005A2954" w:rsidP="005A2954">
      <w:pPr>
        <w:spacing w:line="360" w:lineRule="auto"/>
        <w:ind w:left="181" w:firstLine="539"/>
        <w:jc w:val="center"/>
        <w:rPr>
          <w:rFonts w:ascii="Verdana" w:eastAsia="Arial Unicode MS" w:hAnsi="Verdana"/>
          <w:sz w:val="20"/>
          <w:szCs w:val="20"/>
        </w:rPr>
      </w:pPr>
      <w:r>
        <w:rPr>
          <w:rFonts w:ascii="Verdana" w:eastAsia="Arial Unicode MS" w:hAnsi="Verdana"/>
          <w:sz w:val="20"/>
          <w:szCs w:val="20"/>
        </w:rPr>
        <w:t>***</w:t>
      </w:r>
      <w:r w:rsidRPr="00932FEE">
        <w:rPr>
          <w:rFonts w:ascii="Verdana" w:eastAsia="Arial Unicode MS" w:hAnsi="Verdana"/>
          <w:sz w:val="20"/>
          <w:szCs w:val="20"/>
        </w:rPr>
        <w:t>******</w:t>
      </w:r>
    </w:p>
    <w:p w:rsidR="001B048E" w:rsidRPr="001B048E" w:rsidRDefault="001B048E" w:rsidP="00BE5B29">
      <w:pPr>
        <w:pStyle w:val="Corpotesto"/>
        <w:spacing w:before="120" w:line="360" w:lineRule="auto"/>
        <w:ind w:firstLine="644"/>
        <w:jc w:val="both"/>
        <w:rPr>
          <w:rFonts w:ascii="Verdana" w:hAnsi="Verdana"/>
          <w:sz w:val="20"/>
          <w:szCs w:val="20"/>
        </w:rPr>
      </w:pPr>
      <w:r w:rsidRPr="001B048E">
        <w:rPr>
          <w:rFonts w:ascii="Verdana" w:hAnsi="Verdana"/>
          <w:sz w:val="20"/>
          <w:szCs w:val="20"/>
        </w:rPr>
        <w:t xml:space="preserve">In data 11 marzo 2014, l’organo di revisione del </w:t>
      </w:r>
      <w:r w:rsidRPr="00DC3964">
        <w:rPr>
          <w:rFonts w:ascii="Verdana" w:hAnsi="Verdana"/>
          <w:sz w:val="20"/>
          <w:szCs w:val="20"/>
        </w:rPr>
        <w:t>comune di Noto ha trasmesso la relazione sul rendiconto 2012.</w:t>
      </w:r>
      <w:r w:rsidR="00BE5B29" w:rsidRPr="00DC3964">
        <w:rPr>
          <w:rFonts w:ascii="Verdana" w:eastAsia="Arial Unicode MS" w:hAnsi="Verdana"/>
          <w:i/>
          <w:color w:val="FF0000"/>
          <w:sz w:val="20"/>
          <w:szCs w:val="20"/>
        </w:rPr>
        <w:t xml:space="preserve"> </w:t>
      </w:r>
      <w:r w:rsidRPr="001B048E">
        <w:rPr>
          <w:rFonts w:ascii="Verdana" w:hAnsi="Verdana"/>
          <w:sz w:val="20"/>
          <w:szCs w:val="20"/>
        </w:rPr>
        <w:t>Dalla documentazione pervenuta e dalla successiva attività istruttoria condotta è emerso</w:t>
      </w:r>
      <w:r w:rsidR="00DC3964">
        <w:rPr>
          <w:rFonts w:ascii="Verdana" w:hAnsi="Verdana"/>
          <w:sz w:val="20"/>
          <w:szCs w:val="20"/>
        </w:rPr>
        <w:t>:</w:t>
      </w:r>
    </w:p>
    <w:p w:rsidR="001B048E" w:rsidRPr="001B048E" w:rsidRDefault="001B048E" w:rsidP="001B048E">
      <w:pPr>
        <w:numPr>
          <w:ilvl w:val="0"/>
          <w:numId w:val="1"/>
        </w:numPr>
        <w:spacing w:before="120" w:after="0" w:line="360" w:lineRule="auto"/>
        <w:jc w:val="both"/>
        <w:rPr>
          <w:rFonts w:ascii="Verdana" w:hAnsi="Verdana"/>
          <w:sz w:val="20"/>
          <w:szCs w:val="20"/>
        </w:rPr>
      </w:pPr>
      <w:r w:rsidRPr="001B048E">
        <w:rPr>
          <w:rFonts w:ascii="Verdana" w:hAnsi="Verdana"/>
          <w:sz w:val="20"/>
          <w:szCs w:val="20"/>
        </w:rPr>
        <w:t>l’improprio utilizzo dei capitoli afferenti ai servizi conto terzi con particolare riferimento ad alcune voci di spesa, allocate tra le “Altre per servizi conto terzi” (€ 2.431.545,29), non in linea con il principio di tassatività di cui al principio contabile 2. 25, con la conseguenza che la predetta anomalia possa avere inficiato i dati contabili relativi al rispetto del patto di stabilità, dei limiti di spesa del personale e del parametro di deficitarietà strutturale n. 6, in particolare:</w:t>
      </w:r>
    </w:p>
    <w:p w:rsidR="001B048E" w:rsidRPr="001B048E" w:rsidRDefault="001B048E" w:rsidP="001B048E">
      <w:pPr>
        <w:numPr>
          <w:ilvl w:val="0"/>
          <w:numId w:val="2"/>
        </w:numPr>
        <w:spacing w:before="240" w:after="240" w:line="360" w:lineRule="auto"/>
        <w:ind w:left="1003" w:hanging="357"/>
        <w:jc w:val="both"/>
        <w:rPr>
          <w:rFonts w:ascii="Verdana" w:hAnsi="Verdana"/>
          <w:sz w:val="20"/>
          <w:szCs w:val="20"/>
        </w:rPr>
      </w:pPr>
      <w:r w:rsidRPr="001B048E">
        <w:rPr>
          <w:rFonts w:ascii="Verdana" w:hAnsi="Verdana"/>
          <w:sz w:val="20"/>
          <w:szCs w:val="20"/>
        </w:rPr>
        <w:t>anticipazioni di somme per conto Stato per € 342.475,45;</w:t>
      </w:r>
    </w:p>
    <w:p w:rsidR="001B048E" w:rsidRPr="001B048E" w:rsidRDefault="001B048E" w:rsidP="001B048E">
      <w:pPr>
        <w:numPr>
          <w:ilvl w:val="0"/>
          <w:numId w:val="2"/>
        </w:numPr>
        <w:spacing w:before="240" w:after="240" w:line="360" w:lineRule="auto"/>
        <w:ind w:left="1003" w:hanging="357"/>
        <w:jc w:val="both"/>
        <w:rPr>
          <w:rFonts w:ascii="Verdana" w:hAnsi="Verdana"/>
          <w:sz w:val="20"/>
          <w:szCs w:val="20"/>
        </w:rPr>
      </w:pPr>
      <w:r w:rsidRPr="001B048E">
        <w:rPr>
          <w:rFonts w:ascii="Verdana" w:hAnsi="Verdana"/>
          <w:sz w:val="20"/>
          <w:szCs w:val="20"/>
        </w:rPr>
        <w:t>anticipazioni di somme per conto Regione per € 746.344,69;</w:t>
      </w:r>
    </w:p>
    <w:p w:rsidR="001B048E" w:rsidRPr="001B048E" w:rsidRDefault="001B048E" w:rsidP="001B048E">
      <w:pPr>
        <w:numPr>
          <w:ilvl w:val="0"/>
          <w:numId w:val="2"/>
        </w:numPr>
        <w:spacing w:before="240" w:after="240" w:line="360" w:lineRule="auto"/>
        <w:ind w:left="1003" w:hanging="357"/>
        <w:jc w:val="both"/>
        <w:rPr>
          <w:rFonts w:ascii="Verdana" w:hAnsi="Verdana"/>
          <w:sz w:val="20"/>
          <w:szCs w:val="20"/>
        </w:rPr>
      </w:pPr>
      <w:r w:rsidRPr="001B048E">
        <w:rPr>
          <w:rFonts w:ascii="Verdana" w:hAnsi="Verdana"/>
          <w:sz w:val="20"/>
          <w:szCs w:val="20"/>
        </w:rPr>
        <w:t>anticipazioni di somme per conto Regione art. 53 L.R. 2/2007 per € 64.688,45;</w:t>
      </w:r>
    </w:p>
    <w:p w:rsidR="001B048E" w:rsidRPr="001B048E" w:rsidRDefault="001B048E" w:rsidP="001B048E">
      <w:pPr>
        <w:numPr>
          <w:ilvl w:val="0"/>
          <w:numId w:val="2"/>
        </w:numPr>
        <w:spacing w:before="240" w:after="240" w:line="360" w:lineRule="auto"/>
        <w:ind w:left="1003" w:hanging="357"/>
        <w:jc w:val="both"/>
        <w:rPr>
          <w:rFonts w:ascii="Verdana" w:hAnsi="Verdana"/>
          <w:sz w:val="20"/>
          <w:szCs w:val="20"/>
        </w:rPr>
      </w:pPr>
      <w:r w:rsidRPr="001B048E">
        <w:rPr>
          <w:rFonts w:ascii="Verdana" w:hAnsi="Verdana"/>
          <w:sz w:val="20"/>
          <w:szCs w:val="20"/>
        </w:rPr>
        <w:t>anticipazioni di somme per conto enti pubblici e privati per € 1.142.015,77;</w:t>
      </w:r>
    </w:p>
    <w:p w:rsidR="001B048E" w:rsidRPr="001B048E" w:rsidRDefault="001B048E" w:rsidP="001B048E">
      <w:pPr>
        <w:numPr>
          <w:ilvl w:val="0"/>
          <w:numId w:val="1"/>
        </w:numPr>
        <w:spacing w:before="120" w:after="0" w:line="360" w:lineRule="auto"/>
        <w:jc w:val="both"/>
        <w:rPr>
          <w:rFonts w:ascii="Verdana" w:hAnsi="Verdana"/>
          <w:sz w:val="20"/>
          <w:szCs w:val="20"/>
        </w:rPr>
      </w:pPr>
      <w:r w:rsidRPr="001B048E">
        <w:rPr>
          <w:rFonts w:ascii="Verdana" w:hAnsi="Verdana"/>
          <w:sz w:val="20"/>
          <w:szCs w:val="20"/>
        </w:rPr>
        <w:t>la presenza di debiti fuori bilancio ancora da riconoscere al 31/12/2012 per un importo stimato di € 185.416,04;</w:t>
      </w:r>
    </w:p>
    <w:p w:rsidR="001B048E" w:rsidRPr="001B048E" w:rsidRDefault="001B048E" w:rsidP="001B048E">
      <w:pPr>
        <w:numPr>
          <w:ilvl w:val="0"/>
          <w:numId w:val="1"/>
        </w:numPr>
        <w:spacing w:before="120" w:after="0" w:line="360" w:lineRule="auto"/>
        <w:jc w:val="both"/>
        <w:rPr>
          <w:rFonts w:ascii="Verdana" w:hAnsi="Verdana"/>
          <w:sz w:val="20"/>
          <w:szCs w:val="20"/>
        </w:rPr>
      </w:pPr>
      <w:r w:rsidRPr="001B048E">
        <w:rPr>
          <w:rFonts w:ascii="Verdana" w:hAnsi="Verdana"/>
          <w:sz w:val="20"/>
          <w:szCs w:val="20"/>
        </w:rPr>
        <w:t>la mancata predisposizione della nota informativa di cui all’art.6 comma 4 del D.L. n. 95/2012 relativamente alla situazione debiti/crediti tra l’Ente e gli organismi partecipati.</w:t>
      </w:r>
    </w:p>
    <w:p w:rsidR="001B048E" w:rsidRDefault="001B048E" w:rsidP="001B048E">
      <w:pPr>
        <w:spacing w:before="120" w:line="360" w:lineRule="auto"/>
        <w:jc w:val="both"/>
        <w:rPr>
          <w:rFonts w:ascii="Verdana" w:hAnsi="Verdana"/>
          <w:sz w:val="20"/>
          <w:szCs w:val="20"/>
        </w:rPr>
      </w:pPr>
    </w:p>
    <w:p w:rsidR="001B048E" w:rsidRPr="001B048E" w:rsidRDefault="001B048E" w:rsidP="001B048E">
      <w:pPr>
        <w:spacing w:before="120" w:line="360" w:lineRule="auto"/>
        <w:ind w:firstLine="644"/>
        <w:jc w:val="both"/>
        <w:rPr>
          <w:rFonts w:ascii="Verdana" w:hAnsi="Verdana"/>
          <w:sz w:val="20"/>
          <w:szCs w:val="20"/>
        </w:rPr>
      </w:pPr>
      <w:r w:rsidRPr="001B048E">
        <w:rPr>
          <w:rFonts w:ascii="Verdana" w:hAnsi="Verdana"/>
          <w:sz w:val="20"/>
          <w:szCs w:val="20"/>
        </w:rPr>
        <w:t>Taluni dei profili di criticità rilevati sono già stati oggetto di pronuncia di segnalazione relativamente al rendiconto 2011 ed al bilancio di previsione 2012 (deliberazione n. 363/2013/PRSP).</w:t>
      </w:r>
    </w:p>
    <w:p w:rsidR="001B048E" w:rsidRPr="001B048E" w:rsidRDefault="001B048E" w:rsidP="001B048E">
      <w:pPr>
        <w:spacing w:before="120" w:line="360" w:lineRule="auto"/>
        <w:ind w:firstLine="644"/>
        <w:jc w:val="both"/>
        <w:rPr>
          <w:rFonts w:ascii="Verdana" w:hAnsi="Verdana"/>
          <w:sz w:val="20"/>
          <w:szCs w:val="20"/>
          <w:highlight w:val="yellow"/>
        </w:rPr>
      </w:pPr>
      <w:r w:rsidRPr="001B048E">
        <w:rPr>
          <w:rFonts w:ascii="Verdana" w:hAnsi="Verdana"/>
          <w:sz w:val="20"/>
          <w:szCs w:val="20"/>
        </w:rPr>
        <w:lastRenderedPageBreak/>
        <w:t xml:space="preserve">A tal riguardo, in data 26 maggio 2014, il Comune di Noto ha trasmesso la delibera consiliare n. 20 del 15/04/2014 in ordine ai provvedimenti correttivi adottati a seguito della suddetta pronuncia. </w:t>
      </w:r>
    </w:p>
    <w:p w:rsidR="007F3D3B" w:rsidRDefault="001B048E" w:rsidP="007F3D3B">
      <w:pPr>
        <w:spacing w:before="120" w:line="360" w:lineRule="auto"/>
        <w:ind w:firstLine="644"/>
        <w:jc w:val="both"/>
        <w:rPr>
          <w:rFonts w:ascii="Verdana" w:hAnsi="Verdana"/>
          <w:sz w:val="20"/>
          <w:szCs w:val="20"/>
        </w:rPr>
      </w:pPr>
      <w:r w:rsidRPr="001B048E">
        <w:rPr>
          <w:rFonts w:ascii="Verdana" w:hAnsi="Verdana"/>
          <w:sz w:val="20"/>
          <w:szCs w:val="20"/>
        </w:rPr>
        <w:t>Dalla documentazione pervenuta e dalla successiva attività istruttoria condotta emerge, nel merito, che le suddette misure non sono, allo stato, sufficienti a superare compiutamente tutte le criticità rilevate e che risultano permanere i motivi di preoccupazione per gli equilibri di bilancio già riscontrati nel precedente ciclo di controllo.</w:t>
      </w:r>
    </w:p>
    <w:p w:rsidR="007F3D3B" w:rsidRDefault="007F3D3B" w:rsidP="007F3D3B">
      <w:pPr>
        <w:spacing w:before="120" w:line="360" w:lineRule="auto"/>
        <w:ind w:firstLine="644"/>
        <w:jc w:val="both"/>
        <w:rPr>
          <w:rFonts w:ascii="Verdana" w:hAnsi="Verdana"/>
          <w:sz w:val="20"/>
          <w:szCs w:val="20"/>
        </w:rPr>
      </w:pPr>
    </w:p>
    <w:p w:rsidR="007F3D3B" w:rsidRPr="00AB3EF5" w:rsidRDefault="007F3D3B" w:rsidP="007F3D3B">
      <w:pPr>
        <w:spacing w:before="120" w:line="360" w:lineRule="auto"/>
        <w:ind w:firstLine="644"/>
        <w:jc w:val="center"/>
        <w:rPr>
          <w:rFonts w:ascii="Verdana" w:hAnsi="Verdana"/>
          <w:sz w:val="20"/>
          <w:szCs w:val="20"/>
        </w:rPr>
      </w:pPr>
      <w:r w:rsidRPr="00AB3EF5">
        <w:rPr>
          <w:rFonts w:ascii="Verdana" w:hAnsi="Verdana"/>
          <w:sz w:val="20"/>
          <w:szCs w:val="20"/>
        </w:rPr>
        <w:t>**********</w:t>
      </w:r>
    </w:p>
    <w:p w:rsidR="007F3D3B" w:rsidRPr="00AB3EF5" w:rsidRDefault="007F3D3B" w:rsidP="007F3D3B">
      <w:pPr>
        <w:spacing w:line="360" w:lineRule="auto"/>
        <w:ind w:firstLine="709"/>
        <w:jc w:val="both"/>
        <w:rPr>
          <w:rFonts w:ascii="Verdana" w:hAnsi="Verdana"/>
          <w:sz w:val="20"/>
          <w:szCs w:val="20"/>
        </w:rPr>
      </w:pPr>
    </w:p>
    <w:p w:rsidR="007F3D3B" w:rsidRDefault="007F3D3B" w:rsidP="007F3D3B">
      <w:pPr>
        <w:spacing w:line="360" w:lineRule="auto"/>
        <w:ind w:firstLine="708"/>
        <w:jc w:val="both"/>
        <w:rPr>
          <w:rFonts w:ascii="Verdana" w:hAnsi="Verdana"/>
          <w:bCs/>
          <w:iCs/>
          <w:sz w:val="20"/>
          <w:szCs w:val="20"/>
        </w:rPr>
      </w:pPr>
      <w:r w:rsidRPr="00C715E4">
        <w:rPr>
          <w:rFonts w:ascii="Verdana" w:hAnsi="Verdana"/>
          <w:bCs/>
          <w:iCs/>
          <w:sz w:val="20"/>
          <w:szCs w:val="20"/>
        </w:rPr>
        <w:t xml:space="preserve">All’odierna adunanza pubblica </w:t>
      </w:r>
      <w:r w:rsidR="00CB55AA">
        <w:rPr>
          <w:rFonts w:ascii="Verdana" w:hAnsi="Verdana"/>
          <w:bCs/>
          <w:iCs/>
          <w:sz w:val="20"/>
          <w:szCs w:val="20"/>
        </w:rPr>
        <w:t>in rappresentanza del</w:t>
      </w:r>
      <w:r w:rsidR="00CB55AA" w:rsidRPr="00C715E4">
        <w:rPr>
          <w:rFonts w:ascii="Verdana" w:hAnsi="Verdana"/>
          <w:bCs/>
          <w:iCs/>
          <w:sz w:val="20"/>
          <w:szCs w:val="20"/>
        </w:rPr>
        <w:t>l’</w:t>
      </w:r>
      <w:r w:rsidR="00CB55AA">
        <w:rPr>
          <w:rFonts w:ascii="Verdana" w:hAnsi="Verdana"/>
          <w:bCs/>
          <w:iCs/>
          <w:sz w:val="20"/>
          <w:szCs w:val="20"/>
        </w:rPr>
        <w:t xml:space="preserve">ente, </w:t>
      </w:r>
      <w:r>
        <w:rPr>
          <w:rFonts w:ascii="Verdana" w:hAnsi="Verdana"/>
          <w:bCs/>
          <w:iCs/>
          <w:sz w:val="20"/>
          <w:szCs w:val="20"/>
        </w:rPr>
        <w:t xml:space="preserve">sono presenti </w:t>
      </w:r>
      <w:r w:rsidR="00CB55AA">
        <w:rPr>
          <w:rFonts w:ascii="Verdana" w:hAnsi="Verdana"/>
          <w:bCs/>
          <w:iCs/>
          <w:sz w:val="20"/>
          <w:szCs w:val="20"/>
        </w:rPr>
        <w:t>il dr. Corrado Bonfanti, Sindaco, ed il rag. Gaspare Dato, Responsabile del servizio finanziario del Comune di Noto (SR).</w:t>
      </w:r>
    </w:p>
    <w:p w:rsidR="007F3D3B" w:rsidRDefault="007F3D3B" w:rsidP="007F3D3B">
      <w:pPr>
        <w:spacing w:line="360" w:lineRule="auto"/>
        <w:ind w:firstLine="708"/>
        <w:jc w:val="both"/>
        <w:rPr>
          <w:rFonts w:ascii="Verdana" w:hAnsi="Verdana"/>
          <w:bCs/>
          <w:iCs/>
          <w:sz w:val="20"/>
          <w:szCs w:val="20"/>
        </w:rPr>
      </w:pPr>
    </w:p>
    <w:p w:rsidR="007F3D3B" w:rsidRDefault="007F3D3B" w:rsidP="007F3D3B">
      <w:pPr>
        <w:spacing w:line="360" w:lineRule="auto"/>
        <w:ind w:firstLine="708"/>
        <w:jc w:val="both"/>
        <w:rPr>
          <w:rFonts w:ascii="Verdana" w:hAnsi="Verdana"/>
          <w:bCs/>
          <w:iCs/>
          <w:sz w:val="20"/>
          <w:szCs w:val="20"/>
        </w:rPr>
      </w:pPr>
      <w:r>
        <w:rPr>
          <w:rFonts w:ascii="Verdana" w:hAnsi="Verdana"/>
          <w:bCs/>
          <w:iCs/>
          <w:sz w:val="20"/>
          <w:szCs w:val="20"/>
        </w:rPr>
        <w:t>Nella memoria scritta, a firma del Sindaco, d</w:t>
      </w:r>
      <w:r w:rsidR="00CB55AA">
        <w:rPr>
          <w:rFonts w:ascii="Verdana" w:hAnsi="Verdana"/>
          <w:bCs/>
          <w:iCs/>
          <w:sz w:val="20"/>
          <w:szCs w:val="20"/>
        </w:rPr>
        <w:t>r</w:t>
      </w:r>
      <w:r>
        <w:rPr>
          <w:rFonts w:ascii="Verdana" w:hAnsi="Verdana"/>
          <w:bCs/>
          <w:iCs/>
          <w:sz w:val="20"/>
          <w:szCs w:val="20"/>
        </w:rPr>
        <w:t>.</w:t>
      </w:r>
      <w:r w:rsidR="00CB55AA">
        <w:rPr>
          <w:rFonts w:ascii="Verdana" w:hAnsi="Verdana"/>
          <w:bCs/>
          <w:iCs/>
          <w:sz w:val="20"/>
          <w:szCs w:val="20"/>
        </w:rPr>
        <w:t xml:space="preserve"> Bonfanti</w:t>
      </w:r>
      <w:r>
        <w:rPr>
          <w:rFonts w:ascii="Verdana" w:hAnsi="Verdana"/>
          <w:bCs/>
          <w:iCs/>
          <w:sz w:val="20"/>
          <w:szCs w:val="20"/>
        </w:rPr>
        <w:t xml:space="preserve">, protocollo n. </w:t>
      </w:r>
      <w:r w:rsidR="00CB55AA">
        <w:rPr>
          <w:rFonts w:ascii="Verdana" w:hAnsi="Verdana"/>
          <w:bCs/>
          <w:iCs/>
          <w:sz w:val="20"/>
          <w:szCs w:val="20"/>
        </w:rPr>
        <w:t>38080/38542</w:t>
      </w:r>
      <w:r>
        <w:rPr>
          <w:rFonts w:ascii="Verdana" w:hAnsi="Verdana"/>
          <w:bCs/>
          <w:iCs/>
          <w:sz w:val="20"/>
          <w:szCs w:val="20"/>
        </w:rPr>
        <w:t xml:space="preserve"> del 16.12.2014, acquisita al protocollo della Corte n. 106</w:t>
      </w:r>
      <w:r w:rsidR="00CB55AA">
        <w:rPr>
          <w:rFonts w:ascii="Verdana" w:hAnsi="Verdana"/>
          <w:bCs/>
          <w:iCs/>
          <w:sz w:val="20"/>
          <w:szCs w:val="20"/>
        </w:rPr>
        <w:t>93</w:t>
      </w:r>
      <w:r>
        <w:rPr>
          <w:rFonts w:ascii="Verdana" w:hAnsi="Verdana"/>
          <w:bCs/>
          <w:iCs/>
          <w:sz w:val="20"/>
          <w:szCs w:val="20"/>
        </w:rPr>
        <w:t xml:space="preserve"> del 17.12.2014, sono rappresentate le </w:t>
      </w:r>
      <w:r w:rsidR="00CB55AA">
        <w:rPr>
          <w:rFonts w:ascii="Verdana" w:hAnsi="Verdana"/>
          <w:bCs/>
          <w:iCs/>
          <w:sz w:val="20"/>
          <w:szCs w:val="20"/>
        </w:rPr>
        <w:t>situazioni</w:t>
      </w:r>
      <w:r>
        <w:rPr>
          <w:rFonts w:ascii="Verdana" w:hAnsi="Verdana"/>
          <w:bCs/>
          <w:iCs/>
          <w:sz w:val="20"/>
          <w:szCs w:val="20"/>
        </w:rPr>
        <w:t xml:space="preserve"> che il Comune ha dovuto affrontare nel 2012 e il miglioramento dei dati contabili già nel corso del 2013 in seguito ai provvedimenti adottati.</w:t>
      </w:r>
    </w:p>
    <w:p w:rsidR="007F3D3B" w:rsidRDefault="007F3D3B" w:rsidP="007F3D3B">
      <w:pPr>
        <w:spacing w:line="360" w:lineRule="auto"/>
        <w:ind w:firstLine="708"/>
        <w:jc w:val="both"/>
        <w:rPr>
          <w:rFonts w:ascii="Verdana" w:hAnsi="Verdana"/>
          <w:bCs/>
          <w:iCs/>
          <w:sz w:val="20"/>
          <w:szCs w:val="20"/>
        </w:rPr>
      </w:pPr>
    </w:p>
    <w:p w:rsidR="007F3D3B" w:rsidRDefault="007F3D3B" w:rsidP="007F3D3B">
      <w:pPr>
        <w:spacing w:line="360" w:lineRule="auto"/>
        <w:ind w:firstLine="708"/>
        <w:jc w:val="both"/>
        <w:rPr>
          <w:rFonts w:ascii="Verdana" w:hAnsi="Verdana"/>
          <w:bCs/>
          <w:iCs/>
          <w:sz w:val="20"/>
          <w:szCs w:val="20"/>
        </w:rPr>
      </w:pPr>
      <w:r w:rsidRPr="004E353F">
        <w:rPr>
          <w:rFonts w:ascii="Verdana" w:hAnsi="Verdana"/>
          <w:bCs/>
          <w:iCs/>
          <w:sz w:val="20"/>
          <w:szCs w:val="20"/>
        </w:rPr>
        <w:t xml:space="preserve">In </w:t>
      </w:r>
      <w:r>
        <w:rPr>
          <w:rFonts w:ascii="Verdana" w:hAnsi="Verdana"/>
          <w:bCs/>
          <w:iCs/>
          <w:sz w:val="20"/>
          <w:szCs w:val="20"/>
        </w:rPr>
        <w:t>definitiva</w:t>
      </w:r>
      <w:r w:rsidRPr="004E353F">
        <w:rPr>
          <w:rFonts w:ascii="Verdana" w:hAnsi="Verdana"/>
          <w:bCs/>
          <w:iCs/>
          <w:sz w:val="20"/>
          <w:szCs w:val="20"/>
        </w:rPr>
        <w:t xml:space="preserve">, l’ente </w:t>
      </w:r>
      <w:r>
        <w:rPr>
          <w:rFonts w:ascii="Verdana" w:hAnsi="Verdana"/>
          <w:bCs/>
          <w:iCs/>
          <w:sz w:val="20"/>
          <w:szCs w:val="20"/>
        </w:rPr>
        <w:t xml:space="preserve">precisa le azioni intraprese, sostanzialmente </w:t>
      </w:r>
      <w:r w:rsidRPr="004E353F">
        <w:rPr>
          <w:rFonts w:ascii="Verdana" w:hAnsi="Verdana"/>
          <w:bCs/>
          <w:iCs/>
          <w:sz w:val="20"/>
          <w:szCs w:val="20"/>
        </w:rPr>
        <w:t>non disconosce</w:t>
      </w:r>
      <w:r>
        <w:rPr>
          <w:rFonts w:ascii="Verdana" w:hAnsi="Verdana"/>
          <w:bCs/>
          <w:iCs/>
          <w:sz w:val="20"/>
          <w:szCs w:val="20"/>
        </w:rPr>
        <w:t>ndo</w:t>
      </w:r>
      <w:r w:rsidRPr="004E353F">
        <w:rPr>
          <w:rFonts w:ascii="Verdana" w:hAnsi="Verdana"/>
          <w:bCs/>
          <w:iCs/>
          <w:sz w:val="20"/>
          <w:szCs w:val="20"/>
        </w:rPr>
        <w:t xml:space="preserve"> le criticità rilevate </w:t>
      </w:r>
      <w:r>
        <w:rPr>
          <w:rFonts w:ascii="Verdana" w:hAnsi="Verdana"/>
          <w:bCs/>
          <w:iCs/>
          <w:sz w:val="20"/>
          <w:szCs w:val="20"/>
        </w:rPr>
        <w:t xml:space="preserve">con riferimento all’anno 2012 come sopra illustrate ma </w:t>
      </w:r>
      <w:r w:rsidR="00190F99">
        <w:rPr>
          <w:rFonts w:ascii="Verdana" w:hAnsi="Verdana"/>
          <w:bCs/>
          <w:iCs/>
          <w:sz w:val="20"/>
          <w:szCs w:val="20"/>
        </w:rPr>
        <w:t>comunicando</w:t>
      </w:r>
      <w:r>
        <w:rPr>
          <w:rFonts w:ascii="Verdana" w:hAnsi="Verdana"/>
          <w:bCs/>
          <w:iCs/>
          <w:sz w:val="20"/>
          <w:szCs w:val="20"/>
        </w:rPr>
        <w:t xml:space="preserve"> il superamento delle stesse nel corso dell’esercizio 2013.</w:t>
      </w:r>
    </w:p>
    <w:p w:rsidR="007F3D3B" w:rsidRDefault="007F3D3B" w:rsidP="007F3D3B">
      <w:pPr>
        <w:spacing w:line="360" w:lineRule="auto"/>
        <w:ind w:firstLine="708"/>
        <w:jc w:val="both"/>
        <w:rPr>
          <w:rFonts w:ascii="Verdana" w:hAnsi="Verdana"/>
          <w:bCs/>
          <w:iCs/>
          <w:sz w:val="20"/>
          <w:szCs w:val="20"/>
        </w:rPr>
      </w:pPr>
    </w:p>
    <w:p w:rsidR="007F3D3B" w:rsidRDefault="007F3D3B" w:rsidP="007F3D3B">
      <w:pPr>
        <w:spacing w:line="360" w:lineRule="auto"/>
        <w:ind w:firstLine="709"/>
        <w:jc w:val="both"/>
        <w:rPr>
          <w:rFonts w:ascii="Verdana" w:hAnsi="Verdana"/>
          <w:sz w:val="20"/>
          <w:szCs w:val="20"/>
        </w:rPr>
      </w:pPr>
      <w:r w:rsidRPr="00AB3EF5">
        <w:rPr>
          <w:rFonts w:ascii="Verdana" w:hAnsi="Verdana"/>
          <w:sz w:val="20"/>
          <w:szCs w:val="20"/>
        </w:rPr>
        <w:t xml:space="preserve">Tenuto conto </w:t>
      </w:r>
      <w:r>
        <w:rPr>
          <w:rFonts w:ascii="Verdana" w:hAnsi="Verdana"/>
          <w:sz w:val="20"/>
          <w:szCs w:val="20"/>
        </w:rPr>
        <w:t xml:space="preserve">del contenuto della memoria depositata </w:t>
      </w:r>
      <w:r w:rsidRPr="00AB3EF5">
        <w:rPr>
          <w:rFonts w:ascii="Verdana" w:hAnsi="Verdana"/>
          <w:sz w:val="20"/>
          <w:szCs w:val="20"/>
        </w:rPr>
        <w:t xml:space="preserve">che </w:t>
      </w:r>
      <w:r>
        <w:rPr>
          <w:rFonts w:ascii="Verdana" w:hAnsi="Verdana"/>
          <w:sz w:val="20"/>
          <w:szCs w:val="20"/>
        </w:rPr>
        <w:t>testimonia</w:t>
      </w:r>
      <w:r w:rsidRPr="00AB3EF5">
        <w:rPr>
          <w:rFonts w:ascii="Verdana" w:hAnsi="Verdana"/>
          <w:sz w:val="20"/>
          <w:szCs w:val="20"/>
        </w:rPr>
        <w:t xml:space="preserve"> l’impegno dell’amministrazione </w:t>
      </w:r>
      <w:r>
        <w:rPr>
          <w:rFonts w:ascii="Verdana" w:hAnsi="Verdana"/>
          <w:sz w:val="20"/>
          <w:szCs w:val="20"/>
        </w:rPr>
        <w:t>nel corso dell’anno 2013, i</w:t>
      </w:r>
      <w:r w:rsidRPr="00AB3EF5">
        <w:rPr>
          <w:rFonts w:ascii="Verdana" w:hAnsi="Verdana"/>
          <w:sz w:val="20"/>
          <w:szCs w:val="20"/>
        </w:rPr>
        <w:t xml:space="preserve">l Collegio, pur prendendo atto dell’azione di risanamento intrapresa, </w:t>
      </w:r>
      <w:r w:rsidR="00DC3964">
        <w:rPr>
          <w:rFonts w:ascii="Verdana" w:hAnsi="Verdana"/>
          <w:sz w:val="20"/>
          <w:szCs w:val="20"/>
        </w:rPr>
        <w:t xml:space="preserve">che va proseguita con determinazione, </w:t>
      </w:r>
      <w:r w:rsidRPr="00AB3EF5">
        <w:rPr>
          <w:rFonts w:ascii="Verdana" w:hAnsi="Verdana"/>
          <w:sz w:val="20"/>
          <w:szCs w:val="20"/>
        </w:rPr>
        <w:t xml:space="preserve">conferma l’accertamento delle criticità sopra descritte con riferimento all’esercizio finanziario 2012. </w:t>
      </w:r>
    </w:p>
    <w:p w:rsidR="0093212F" w:rsidRDefault="0093212F" w:rsidP="007F3D3B">
      <w:pPr>
        <w:spacing w:line="360" w:lineRule="auto"/>
        <w:ind w:firstLine="709"/>
        <w:jc w:val="both"/>
        <w:rPr>
          <w:rFonts w:ascii="Verdana" w:hAnsi="Verdana"/>
          <w:i/>
          <w:sz w:val="20"/>
          <w:szCs w:val="20"/>
        </w:rPr>
      </w:pPr>
    </w:p>
    <w:p w:rsidR="00DC3964" w:rsidRDefault="00DC3964" w:rsidP="007F3D3B">
      <w:pPr>
        <w:spacing w:line="360" w:lineRule="auto"/>
        <w:ind w:firstLine="709"/>
        <w:jc w:val="both"/>
        <w:rPr>
          <w:rFonts w:ascii="Verdana" w:hAnsi="Verdana"/>
          <w:i/>
          <w:sz w:val="20"/>
          <w:szCs w:val="20"/>
        </w:rPr>
      </w:pPr>
    </w:p>
    <w:p w:rsidR="00DC3964" w:rsidRDefault="00DC3964" w:rsidP="007F3D3B">
      <w:pPr>
        <w:spacing w:line="360" w:lineRule="auto"/>
        <w:ind w:firstLine="709"/>
        <w:jc w:val="both"/>
        <w:rPr>
          <w:rFonts w:ascii="Verdana" w:hAnsi="Verdana"/>
          <w:i/>
          <w:sz w:val="20"/>
          <w:szCs w:val="20"/>
        </w:rPr>
      </w:pPr>
    </w:p>
    <w:p w:rsidR="00DC3964" w:rsidRPr="00AB3EF5" w:rsidRDefault="00DC3964" w:rsidP="007F3D3B">
      <w:pPr>
        <w:spacing w:line="360" w:lineRule="auto"/>
        <w:ind w:firstLine="709"/>
        <w:jc w:val="both"/>
        <w:rPr>
          <w:rFonts w:ascii="Verdana" w:hAnsi="Verdana"/>
          <w:i/>
          <w:sz w:val="20"/>
          <w:szCs w:val="20"/>
        </w:rPr>
      </w:pPr>
    </w:p>
    <w:p w:rsidR="007F3D3B" w:rsidRPr="00DC3964" w:rsidRDefault="007F3D3B" w:rsidP="007F3D3B">
      <w:pPr>
        <w:pStyle w:val="Testodelblocco"/>
        <w:ind w:left="0" w:right="96" w:firstLine="150"/>
        <w:jc w:val="center"/>
        <w:rPr>
          <w:rFonts w:ascii="Verdana" w:hAnsi="Verdana"/>
          <w:i w:val="0"/>
          <w:sz w:val="20"/>
          <w:szCs w:val="20"/>
        </w:rPr>
      </w:pPr>
      <w:r w:rsidRPr="00DC3964">
        <w:rPr>
          <w:rFonts w:ascii="Verdana" w:hAnsi="Verdana"/>
          <w:i w:val="0"/>
          <w:sz w:val="20"/>
          <w:szCs w:val="20"/>
        </w:rPr>
        <w:t>P. Q. M.</w:t>
      </w:r>
    </w:p>
    <w:p w:rsidR="007F3D3B" w:rsidRPr="00AB3EF5" w:rsidRDefault="007F3D3B" w:rsidP="00DC3964">
      <w:pPr>
        <w:spacing w:line="360" w:lineRule="auto"/>
        <w:ind w:left="150"/>
        <w:jc w:val="both"/>
        <w:rPr>
          <w:rFonts w:ascii="Verdana" w:eastAsia="Arial Unicode MS" w:hAnsi="Verdana"/>
          <w:sz w:val="20"/>
          <w:szCs w:val="20"/>
        </w:rPr>
      </w:pPr>
      <w:r w:rsidRPr="00AB3EF5">
        <w:rPr>
          <w:rFonts w:ascii="Verdana" w:eastAsia="Arial Unicode MS" w:hAnsi="Verdana"/>
          <w:sz w:val="20"/>
          <w:szCs w:val="20"/>
        </w:rPr>
        <w:t>La Corte dei conti – Sezione di con</w:t>
      </w:r>
      <w:r w:rsidR="00DC3964">
        <w:rPr>
          <w:rFonts w:ascii="Verdana" w:eastAsia="Arial Unicode MS" w:hAnsi="Verdana"/>
          <w:sz w:val="20"/>
          <w:szCs w:val="20"/>
        </w:rPr>
        <w:t xml:space="preserve">trollo per la Regione siciliana </w:t>
      </w:r>
      <w:r w:rsidRPr="00AB3EF5">
        <w:rPr>
          <w:rFonts w:ascii="Verdana" w:eastAsia="Arial Unicode MS" w:hAnsi="Verdana"/>
          <w:sz w:val="20"/>
          <w:szCs w:val="20"/>
        </w:rPr>
        <w:t>accerta la presenza, nei termini evidenziati, dei profili di criticità sopra illustrat</w:t>
      </w:r>
      <w:r>
        <w:rPr>
          <w:rFonts w:ascii="Verdana" w:eastAsia="Arial Unicode MS" w:hAnsi="Verdana"/>
          <w:sz w:val="20"/>
          <w:szCs w:val="20"/>
        </w:rPr>
        <w:t>i con riferimento ai punti 1, 2 e</w:t>
      </w:r>
      <w:r w:rsidRPr="00AB3EF5">
        <w:rPr>
          <w:rFonts w:ascii="Verdana" w:eastAsia="Arial Unicode MS" w:hAnsi="Verdana"/>
          <w:sz w:val="20"/>
          <w:szCs w:val="20"/>
        </w:rPr>
        <w:t xml:space="preserve"> 3;</w:t>
      </w:r>
    </w:p>
    <w:p w:rsidR="007F3D3B" w:rsidRPr="00AB3EF5" w:rsidRDefault="007F3D3B" w:rsidP="007F3D3B">
      <w:pPr>
        <w:spacing w:line="360" w:lineRule="auto"/>
        <w:ind w:left="150"/>
        <w:jc w:val="both"/>
        <w:rPr>
          <w:rFonts w:ascii="Verdana" w:eastAsia="Arial Unicode MS" w:hAnsi="Verdana"/>
          <w:sz w:val="20"/>
          <w:szCs w:val="20"/>
        </w:rPr>
      </w:pPr>
    </w:p>
    <w:p w:rsidR="00DC3964" w:rsidRPr="0064546D" w:rsidRDefault="00DC3964" w:rsidP="00DC3964">
      <w:pPr>
        <w:pStyle w:val="Testodelblocco"/>
        <w:spacing w:after="0"/>
        <w:ind w:left="0" w:right="96" w:firstLine="150"/>
        <w:jc w:val="center"/>
        <w:rPr>
          <w:rFonts w:ascii="Verdana" w:hAnsi="Verdana"/>
          <w:i w:val="0"/>
          <w:sz w:val="20"/>
          <w:szCs w:val="20"/>
        </w:rPr>
      </w:pPr>
      <w:r w:rsidRPr="0064546D">
        <w:rPr>
          <w:rFonts w:ascii="Verdana" w:hAnsi="Verdana"/>
          <w:i w:val="0"/>
          <w:sz w:val="20"/>
          <w:szCs w:val="20"/>
        </w:rPr>
        <w:t>O R D I N A</w:t>
      </w:r>
    </w:p>
    <w:p w:rsidR="00DC3964" w:rsidRPr="001A3AB0" w:rsidRDefault="00DC3964" w:rsidP="00DC3964">
      <w:pPr>
        <w:pStyle w:val="Testodelblocco"/>
        <w:spacing w:after="0"/>
        <w:ind w:left="0" w:right="96" w:firstLine="150"/>
        <w:jc w:val="center"/>
        <w:rPr>
          <w:rFonts w:ascii="Verdana" w:hAnsi="Verdana"/>
          <w:b/>
          <w:i w:val="0"/>
          <w:sz w:val="20"/>
          <w:szCs w:val="20"/>
          <w:highlight w:val="yellow"/>
        </w:rPr>
      </w:pPr>
    </w:p>
    <w:p w:rsidR="007F3D3B" w:rsidRPr="00BE5B29" w:rsidRDefault="00DC3964" w:rsidP="00DC3964">
      <w:pPr>
        <w:spacing w:line="360" w:lineRule="auto"/>
        <w:ind w:left="180"/>
        <w:jc w:val="both"/>
        <w:rPr>
          <w:rFonts w:ascii="Verdana" w:eastAsia="Arial Unicode MS" w:hAnsi="Verdana"/>
          <w:sz w:val="20"/>
          <w:szCs w:val="20"/>
          <w:highlight w:val="yellow"/>
        </w:rPr>
      </w:pPr>
      <w:r w:rsidRPr="0064546D">
        <w:rPr>
          <w:rFonts w:ascii="Verdana" w:eastAsia="Arial Unicode MS" w:hAnsi="Verdana"/>
          <w:sz w:val="20"/>
          <w:szCs w:val="20"/>
        </w:rPr>
        <w:t xml:space="preserve">che, a cura del Servizio di supporto della Sezione di controllo, copia della presente pronuncia sia comunicata al Consiglio comunale – per il tramite del suo Presidente - ai fini dell’adozione delle necessarie misure correttive oltre che al Sindaco e all’Organo di revisione dei conti del Comune di </w:t>
      </w:r>
      <w:r>
        <w:rPr>
          <w:rFonts w:ascii="Verdana" w:eastAsia="Arial Unicode MS" w:hAnsi="Verdana"/>
          <w:sz w:val="20"/>
          <w:szCs w:val="20"/>
        </w:rPr>
        <w:t>Noto</w:t>
      </w:r>
      <w:r w:rsidRPr="0064546D">
        <w:rPr>
          <w:rFonts w:ascii="Verdana" w:eastAsia="Arial Unicode MS" w:hAnsi="Verdana"/>
          <w:sz w:val="20"/>
          <w:szCs w:val="20"/>
        </w:rPr>
        <w:t xml:space="preserve"> (SR);</w:t>
      </w:r>
    </w:p>
    <w:p w:rsidR="007F3D3B" w:rsidRPr="00BE5B29" w:rsidRDefault="007F3D3B" w:rsidP="007F3D3B">
      <w:pPr>
        <w:spacing w:line="360" w:lineRule="auto"/>
        <w:ind w:left="180"/>
        <w:jc w:val="both"/>
        <w:rPr>
          <w:rFonts w:ascii="Verdana" w:eastAsia="Arial Unicode MS" w:hAnsi="Verdana"/>
          <w:sz w:val="20"/>
          <w:szCs w:val="20"/>
          <w:highlight w:val="yellow"/>
        </w:rPr>
      </w:pPr>
    </w:p>
    <w:p w:rsidR="007F3D3B" w:rsidRPr="00DC3964" w:rsidRDefault="007F3D3B" w:rsidP="007F3D3B">
      <w:pPr>
        <w:spacing w:line="360" w:lineRule="auto"/>
        <w:ind w:left="180"/>
        <w:jc w:val="center"/>
        <w:rPr>
          <w:rFonts w:ascii="Verdana" w:eastAsia="Arial Unicode MS" w:hAnsi="Verdana"/>
          <w:b/>
          <w:sz w:val="20"/>
          <w:szCs w:val="20"/>
        </w:rPr>
      </w:pPr>
      <w:r w:rsidRPr="00DC3964">
        <w:rPr>
          <w:rFonts w:ascii="Verdana" w:eastAsia="Arial Unicode MS" w:hAnsi="Verdana"/>
          <w:b/>
          <w:sz w:val="20"/>
          <w:szCs w:val="20"/>
        </w:rPr>
        <w:t>D I S P O N E</w:t>
      </w:r>
    </w:p>
    <w:p w:rsidR="007F3D3B" w:rsidRDefault="007F3D3B" w:rsidP="007F3D3B">
      <w:pPr>
        <w:spacing w:line="360" w:lineRule="auto"/>
        <w:ind w:left="142"/>
        <w:jc w:val="both"/>
        <w:rPr>
          <w:rFonts w:ascii="Verdana" w:eastAsia="Verdana" w:hAnsi="Verdana"/>
          <w:color w:val="000000"/>
          <w:sz w:val="20"/>
          <w:szCs w:val="20"/>
          <w:lang w:eastAsia="en-US"/>
        </w:rPr>
      </w:pPr>
      <w:r w:rsidRPr="00DC3964">
        <w:rPr>
          <w:rFonts w:ascii="Verdana" w:hAnsi="Verdana"/>
          <w:sz w:val="20"/>
        </w:rPr>
        <w:t xml:space="preserve">che, a cura della Segreteria, copia della presente deliberazione, da pubblicare sul sito istituzionale dell’Ente, ai sensi dell’art. 31 del d.lgs. n. 33/2013, sia trasmessa </w:t>
      </w:r>
      <w:r w:rsidRPr="00DC3964">
        <w:rPr>
          <w:rFonts w:ascii="Verdana" w:eastAsia="Verdana" w:hAnsi="Verdana"/>
          <w:color w:val="000000"/>
          <w:sz w:val="20"/>
          <w:szCs w:val="20"/>
          <w:lang w:eastAsia="en-US"/>
        </w:rPr>
        <w:t xml:space="preserve">al Sindaco, al Presidente del Consiglio comunale e all’Organo di revisione del Comune di </w:t>
      </w:r>
      <w:r w:rsidR="0093212F" w:rsidRPr="00DC3964">
        <w:rPr>
          <w:rFonts w:ascii="Verdana" w:eastAsia="Verdana" w:hAnsi="Verdana"/>
          <w:color w:val="000000"/>
          <w:sz w:val="20"/>
          <w:szCs w:val="20"/>
          <w:lang w:eastAsia="en-US"/>
        </w:rPr>
        <w:t>Noto</w:t>
      </w:r>
      <w:r w:rsidRPr="00DC3964">
        <w:rPr>
          <w:rFonts w:ascii="Verdana" w:eastAsia="Verdana" w:hAnsi="Verdana"/>
          <w:color w:val="000000"/>
          <w:sz w:val="20"/>
          <w:szCs w:val="20"/>
          <w:lang w:eastAsia="en-US"/>
        </w:rPr>
        <w:t xml:space="preserve"> (SR);</w:t>
      </w:r>
    </w:p>
    <w:p w:rsidR="007F3D3B" w:rsidRDefault="007F3D3B" w:rsidP="007F3D3B">
      <w:pPr>
        <w:spacing w:line="360" w:lineRule="auto"/>
        <w:ind w:firstLine="708"/>
        <w:jc w:val="both"/>
        <w:rPr>
          <w:rFonts w:ascii="Verdana" w:eastAsia="Arial Unicode MS" w:hAnsi="Verdana"/>
          <w:sz w:val="20"/>
          <w:szCs w:val="20"/>
        </w:rPr>
      </w:pPr>
    </w:p>
    <w:p w:rsidR="007F3D3B" w:rsidRPr="00AB3EF5" w:rsidRDefault="007F3D3B" w:rsidP="007F3D3B">
      <w:pPr>
        <w:spacing w:line="360" w:lineRule="auto"/>
        <w:ind w:firstLine="708"/>
        <w:jc w:val="both"/>
        <w:rPr>
          <w:rFonts w:ascii="Verdana" w:eastAsia="Arial Unicode MS" w:hAnsi="Verdana"/>
          <w:sz w:val="20"/>
          <w:szCs w:val="20"/>
        </w:rPr>
      </w:pPr>
      <w:r w:rsidRPr="00AB3EF5">
        <w:rPr>
          <w:rFonts w:ascii="Verdana" w:eastAsia="Arial Unicode MS" w:hAnsi="Verdana"/>
          <w:sz w:val="20"/>
          <w:szCs w:val="20"/>
        </w:rPr>
        <w:t>Così deliberato in Palermo, nella camera di consiglio del 1</w:t>
      </w:r>
      <w:r>
        <w:rPr>
          <w:rFonts w:ascii="Verdana" w:eastAsia="Arial Unicode MS" w:hAnsi="Verdana"/>
          <w:sz w:val="20"/>
          <w:szCs w:val="20"/>
        </w:rPr>
        <w:t>8</w:t>
      </w:r>
      <w:r w:rsidRPr="00AB3EF5">
        <w:rPr>
          <w:rFonts w:ascii="Verdana" w:eastAsia="Arial Unicode MS" w:hAnsi="Verdana"/>
          <w:sz w:val="20"/>
          <w:szCs w:val="20"/>
        </w:rPr>
        <w:t xml:space="preserve"> dicembre 2014.</w:t>
      </w:r>
    </w:p>
    <w:tbl>
      <w:tblPr>
        <w:tblW w:w="0" w:type="auto"/>
        <w:tblInd w:w="250" w:type="dxa"/>
        <w:tblLayout w:type="fixed"/>
        <w:tblCellMar>
          <w:left w:w="70" w:type="dxa"/>
          <w:right w:w="70" w:type="dxa"/>
        </w:tblCellMar>
        <w:tblLook w:val="0000" w:firstRow="0" w:lastRow="0" w:firstColumn="0" w:lastColumn="0" w:noHBand="0" w:noVBand="0"/>
      </w:tblPr>
      <w:tblGrid>
        <w:gridCol w:w="4680"/>
        <w:gridCol w:w="3645"/>
      </w:tblGrid>
      <w:tr w:rsidR="007F3D3B" w:rsidRPr="00AB3EF5" w:rsidTr="0015797B">
        <w:tc>
          <w:tcPr>
            <w:tcW w:w="4680" w:type="dxa"/>
          </w:tcPr>
          <w:p w:rsidR="007F3D3B" w:rsidRPr="00AB3EF5" w:rsidRDefault="007F3D3B" w:rsidP="0015797B">
            <w:pPr>
              <w:rPr>
                <w:rFonts w:ascii="Verdana" w:eastAsia="Arial Unicode MS" w:hAnsi="Verdana"/>
                <w:sz w:val="20"/>
                <w:szCs w:val="20"/>
              </w:rPr>
            </w:pPr>
          </w:p>
          <w:p w:rsidR="007F3D3B" w:rsidRPr="00AB3EF5" w:rsidRDefault="007F3D3B" w:rsidP="0015797B">
            <w:pPr>
              <w:rPr>
                <w:rFonts w:ascii="Verdana" w:eastAsia="Arial Unicode MS" w:hAnsi="Verdana"/>
                <w:sz w:val="20"/>
                <w:szCs w:val="20"/>
              </w:rPr>
            </w:pPr>
            <w:r w:rsidRPr="00AB3EF5">
              <w:rPr>
                <w:rFonts w:ascii="Verdana" w:eastAsia="Arial Unicode MS" w:hAnsi="Verdana"/>
                <w:sz w:val="20"/>
                <w:szCs w:val="20"/>
              </w:rPr>
              <w:t xml:space="preserve">                    </w:t>
            </w:r>
            <w:r w:rsidR="00C3376C">
              <w:rPr>
                <w:rFonts w:ascii="Verdana" w:eastAsia="Arial Unicode MS" w:hAnsi="Verdana"/>
                <w:sz w:val="20"/>
                <w:szCs w:val="20"/>
              </w:rPr>
              <w:t xml:space="preserve"> </w:t>
            </w:r>
            <w:r w:rsidRPr="00AB3EF5">
              <w:rPr>
                <w:rFonts w:ascii="Verdana" w:eastAsia="Arial Unicode MS" w:hAnsi="Verdana"/>
                <w:sz w:val="20"/>
                <w:szCs w:val="20"/>
              </w:rPr>
              <w:t xml:space="preserve"> L’ESTENSORE</w:t>
            </w:r>
          </w:p>
          <w:p w:rsidR="007F3D3B" w:rsidRPr="00AB3EF5" w:rsidRDefault="0093212F" w:rsidP="0015797B">
            <w:pPr>
              <w:jc w:val="center"/>
              <w:rPr>
                <w:rFonts w:ascii="Verdana" w:eastAsia="Arial Unicode MS" w:hAnsi="Verdana"/>
                <w:sz w:val="20"/>
                <w:szCs w:val="20"/>
              </w:rPr>
            </w:pPr>
            <w:r>
              <w:rPr>
                <w:rFonts w:ascii="Verdana" w:eastAsia="Arial Unicode MS" w:hAnsi="Verdana"/>
                <w:sz w:val="20"/>
                <w:szCs w:val="20"/>
              </w:rPr>
              <w:t>(Daniele Caprino)</w:t>
            </w:r>
          </w:p>
        </w:tc>
        <w:tc>
          <w:tcPr>
            <w:tcW w:w="3645" w:type="dxa"/>
          </w:tcPr>
          <w:p w:rsidR="007F3D3B" w:rsidRPr="00AB3EF5" w:rsidRDefault="007F3D3B" w:rsidP="0015797B">
            <w:pPr>
              <w:jc w:val="center"/>
              <w:rPr>
                <w:rFonts w:ascii="Verdana" w:eastAsia="Arial Unicode MS" w:hAnsi="Verdana"/>
                <w:sz w:val="20"/>
                <w:szCs w:val="20"/>
              </w:rPr>
            </w:pPr>
          </w:p>
          <w:p w:rsidR="007F3D3B" w:rsidRPr="00AB3EF5" w:rsidRDefault="0093212F" w:rsidP="0015797B">
            <w:pPr>
              <w:jc w:val="center"/>
              <w:rPr>
                <w:rFonts w:ascii="Verdana" w:eastAsia="Arial Unicode MS" w:hAnsi="Verdana"/>
                <w:sz w:val="20"/>
                <w:szCs w:val="20"/>
              </w:rPr>
            </w:pPr>
            <w:r w:rsidRPr="00AB3EF5">
              <w:rPr>
                <w:rFonts w:ascii="Verdana" w:eastAsia="Arial Unicode MS" w:hAnsi="Verdana"/>
                <w:sz w:val="20"/>
                <w:szCs w:val="20"/>
              </w:rPr>
              <w:t>IL PRESIDENTE</w:t>
            </w:r>
          </w:p>
          <w:p w:rsidR="007F3D3B" w:rsidRPr="00AB3EF5" w:rsidRDefault="0093212F" w:rsidP="00190F99">
            <w:pPr>
              <w:spacing w:after="0"/>
              <w:jc w:val="center"/>
              <w:rPr>
                <w:rFonts w:ascii="Verdana" w:eastAsia="Arial Unicode MS" w:hAnsi="Verdana"/>
                <w:sz w:val="20"/>
                <w:szCs w:val="20"/>
              </w:rPr>
            </w:pPr>
            <w:r>
              <w:rPr>
                <w:rFonts w:ascii="Verdana" w:eastAsia="Arial Unicode MS" w:hAnsi="Verdana"/>
                <w:sz w:val="20"/>
                <w:szCs w:val="20"/>
              </w:rPr>
              <w:t>(Stefano Siragusa)</w:t>
            </w:r>
          </w:p>
        </w:tc>
      </w:tr>
      <w:tr w:rsidR="007F3D3B" w:rsidRPr="00AB3EF5" w:rsidTr="0015797B">
        <w:tc>
          <w:tcPr>
            <w:tcW w:w="4680" w:type="dxa"/>
          </w:tcPr>
          <w:p w:rsidR="007F3D3B" w:rsidRPr="00AB3EF5" w:rsidRDefault="007F3D3B" w:rsidP="0093212F">
            <w:pPr>
              <w:rPr>
                <w:rFonts w:ascii="Verdana" w:eastAsia="Arial Unicode MS" w:hAnsi="Verdana"/>
                <w:sz w:val="20"/>
                <w:szCs w:val="20"/>
              </w:rPr>
            </w:pPr>
            <w:r w:rsidRPr="00AB3EF5">
              <w:rPr>
                <w:rFonts w:ascii="Verdana" w:eastAsia="Arial Unicode MS" w:hAnsi="Verdana"/>
                <w:sz w:val="20"/>
                <w:szCs w:val="20"/>
              </w:rPr>
              <w:t xml:space="preserve">                </w:t>
            </w:r>
          </w:p>
        </w:tc>
        <w:tc>
          <w:tcPr>
            <w:tcW w:w="3645" w:type="dxa"/>
          </w:tcPr>
          <w:p w:rsidR="007F3D3B" w:rsidRPr="00AB3EF5" w:rsidRDefault="007F3D3B" w:rsidP="0015797B">
            <w:pPr>
              <w:jc w:val="center"/>
              <w:rPr>
                <w:rFonts w:ascii="Verdana" w:eastAsia="Arial Unicode MS" w:hAnsi="Verdana"/>
                <w:sz w:val="20"/>
                <w:szCs w:val="20"/>
              </w:rPr>
            </w:pPr>
          </w:p>
        </w:tc>
      </w:tr>
    </w:tbl>
    <w:p w:rsidR="007F3D3B" w:rsidRDefault="007F3D3B" w:rsidP="007F3D3B">
      <w:pPr>
        <w:spacing w:line="360" w:lineRule="auto"/>
        <w:rPr>
          <w:rFonts w:ascii="Verdana" w:eastAsia="Arial Unicode MS" w:hAnsi="Verdana"/>
          <w:sz w:val="20"/>
          <w:szCs w:val="20"/>
        </w:rPr>
      </w:pPr>
      <w:r w:rsidRPr="00AB3EF5">
        <w:rPr>
          <w:rFonts w:ascii="Verdana" w:eastAsia="Arial Unicode MS" w:hAnsi="Verdana"/>
          <w:sz w:val="20"/>
          <w:szCs w:val="20"/>
        </w:rPr>
        <w:t>Depositata in segreteria il</w:t>
      </w:r>
      <w:r w:rsidR="00A914D7">
        <w:rPr>
          <w:rFonts w:ascii="Verdana" w:eastAsia="Arial Unicode MS" w:hAnsi="Verdana"/>
          <w:sz w:val="20"/>
          <w:szCs w:val="20"/>
        </w:rPr>
        <w:t xml:space="preserve"> 19 marzo 2015</w:t>
      </w:r>
    </w:p>
    <w:p w:rsidR="00A914D7" w:rsidRDefault="00A914D7" w:rsidP="007F3D3B">
      <w:pPr>
        <w:spacing w:line="360" w:lineRule="auto"/>
        <w:rPr>
          <w:rFonts w:ascii="Verdana" w:eastAsia="Arial Unicode MS" w:hAnsi="Verdana"/>
          <w:sz w:val="20"/>
          <w:szCs w:val="20"/>
        </w:rPr>
      </w:pPr>
      <w:r>
        <w:rPr>
          <w:rFonts w:ascii="Verdana" w:eastAsia="Arial Unicode MS" w:hAnsi="Verdana"/>
          <w:sz w:val="20"/>
          <w:szCs w:val="20"/>
        </w:rPr>
        <w:t xml:space="preserve">      IL FUNZIONARIO RESPONSABILE</w:t>
      </w:r>
    </w:p>
    <w:p w:rsidR="00A914D7" w:rsidRPr="00AB3EF5" w:rsidRDefault="00A914D7" w:rsidP="007F3D3B">
      <w:pPr>
        <w:spacing w:line="360" w:lineRule="auto"/>
        <w:rPr>
          <w:rFonts w:ascii="Verdana" w:eastAsia="Arial Unicode MS" w:hAnsi="Verdana"/>
          <w:sz w:val="20"/>
          <w:szCs w:val="20"/>
        </w:rPr>
      </w:pPr>
      <w:r>
        <w:rPr>
          <w:rFonts w:ascii="Verdana" w:eastAsia="Arial Unicode MS" w:hAnsi="Verdana"/>
          <w:sz w:val="20"/>
          <w:szCs w:val="20"/>
        </w:rPr>
        <w:t xml:space="preserve">                  (Boris Rasura)</w:t>
      </w:r>
    </w:p>
    <w:p w:rsidR="007F3D3B" w:rsidRPr="00AB3EF5" w:rsidRDefault="007F3D3B" w:rsidP="007F3D3B">
      <w:pPr>
        <w:pStyle w:val="Corpotesto"/>
        <w:spacing w:line="360" w:lineRule="auto"/>
        <w:ind w:left="4956"/>
        <w:rPr>
          <w:sz w:val="20"/>
        </w:rPr>
      </w:pPr>
    </w:p>
    <w:p w:rsidR="007F3D3B" w:rsidRDefault="007F3D3B" w:rsidP="007F3D3B"/>
    <w:p w:rsidR="005A2954" w:rsidRDefault="005A2954" w:rsidP="005A2954">
      <w:pPr>
        <w:pStyle w:val="Titolo4"/>
        <w:spacing w:before="0" w:after="0" w:line="360" w:lineRule="auto"/>
        <w:ind w:left="0" w:right="0"/>
        <w:rPr>
          <w:rFonts w:ascii="Verdana" w:hAnsi="Verdana"/>
          <w:i w:val="0"/>
          <w:sz w:val="20"/>
        </w:rPr>
      </w:pPr>
      <w:r>
        <w:rPr>
          <w:rFonts w:ascii="Verdana" w:hAnsi="Verdana"/>
          <w:i w:val="0"/>
          <w:sz w:val="20"/>
        </w:rPr>
        <w:tab/>
      </w:r>
    </w:p>
    <w:sectPr w:rsidR="005A295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07" w:rsidRDefault="003E3707" w:rsidP="00800417">
      <w:pPr>
        <w:spacing w:after="0" w:line="240" w:lineRule="auto"/>
      </w:pPr>
      <w:r>
        <w:separator/>
      </w:r>
    </w:p>
  </w:endnote>
  <w:endnote w:type="continuationSeparator" w:id="0">
    <w:p w:rsidR="003E3707" w:rsidRDefault="003E3707" w:rsidP="008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22248"/>
      <w:docPartObj>
        <w:docPartGallery w:val="Page Numbers (Bottom of Page)"/>
        <w:docPartUnique/>
      </w:docPartObj>
    </w:sdtPr>
    <w:sdtEndPr/>
    <w:sdtContent>
      <w:p w:rsidR="00800417" w:rsidRDefault="00800417">
        <w:pPr>
          <w:pStyle w:val="Pidipagina"/>
          <w:jc w:val="center"/>
        </w:pPr>
        <w:r>
          <w:fldChar w:fldCharType="begin"/>
        </w:r>
        <w:r>
          <w:instrText>PAGE   \* MERGEFORMAT</w:instrText>
        </w:r>
        <w:r>
          <w:fldChar w:fldCharType="separate"/>
        </w:r>
        <w:r w:rsidR="006A1167">
          <w:rPr>
            <w:noProof/>
          </w:rPr>
          <w:t>1</w:t>
        </w:r>
        <w:r>
          <w:fldChar w:fldCharType="end"/>
        </w:r>
      </w:p>
    </w:sdtContent>
  </w:sdt>
  <w:p w:rsidR="00800417" w:rsidRDefault="008004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07" w:rsidRDefault="003E3707" w:rsidP="00800417">
      <w:pPr>
        <w:spacing w:after="0" w:line="240" w:lineRule="auto"/>
      </w:pPr>
      <w:r>
        <w:separator/>
      </w:r>
    </w:p>
  </w:footnote>
  <w:footnote w:type="continuationSeparator" w:id="0">
    <w:p w:rsidR="003E3707" w:rsidRDefault="003E3707" w:rsidP="00800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2839"/>
    <w:multiLevelType w:val="hybridMultilevel"/>
    <w:tmpl w:val="9EDCDDD8"/>
    <w:lvl w:ilvl="0" w:tplc="04100001">
      <w:start w:val="1"/>
      <w:numFmt w:val="bullet"/>
      <w:lvlText w:val=""/>
      <w:lvlJc w:val="left"/>
      <w:pPr>
        <w:tabs>
          <w:tab w:val="num" w:pos="1004"/>
        </w:tabs>
        <w:ind w:left="1004" w:hanging="360"/>
      </w:pPr>
      <w:rPr>
        <w:rFonts w:ascii="Symbol" w:hAnsi="Symbol" w:hint="default"/>
      </w:r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
    <w:nsid w:val="667F548E"/>
    <w:multiLevelType w:val="hybridMultilevel"/>
    <w:tmpl w:val="F468F2CC"/>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54"/>
    <w:rsid w:val="000E41BA"/>
    <w:rsid w:val="000F6F03"/>
    <w:rsid w:val="00190F99"/>
    <w:rsid w:val="001B048E"/>
    <w:rsid w:val="003C3B25"/>
    <w:rsid w:val="003E3707"/>
    <w:rsid w:val="00521946"/>
    <w:rsid w:val="005A2954"/>
    <w:rsid w:val="006A1167"/>
    <w:rsid w:val="007F3D3B"/>
    <w:rsid w:val="00800417"/>
    <w:rsid w:val="00903F88"/>
    <w:rsid w:val="00905ED6"/>
    <w:rsid w:val="0093212F"/>
    <w:rsid w:val="009C2B58"/>
    <w:rsid w:val="009D3DAB"/>
    <w:rsid w:val="00A914D7"/>
    <w:rsid w:val="00BE5B29"/>
    <w:rsid w:val="00C3376C"/>
    <w:rsid w:val="00CB55AA"/>
    <w:rsid w:val="00DC39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5A2954"/>
    <w:pPr>
      <w:keepNext/>
      <w:spacing w:before="100" w:after="100" w:line="240" w:lineRule="auto"/>
      <w:ind w:left="180" w:right="98"/>
      <w:jc w:val="center"/>
      <w:outlineLvl w:val="3"/>
    </w:pPr>
    <w:rPr>
      <w:rFonts w:ascii="Arial Unicode MS" w:eastAsia="Arial Unicode MS" w:hAnsi="Arial Unicode MS" w:cs="Times New Roman"/>
      <w:i/>
      <w:sz w:val="24"/>
      <w:szCs w:val="24"/>
    </w:rPr>
  </w:style>
  <w:style w:type="paragraph" w:styleId="Titolo5">
    <w:name w:val="heading 5"/>
    <w:basedOn w:val="Normale"/>
    <w:next w:val="Normale"/>
    <w:link w:val="Titolo5Carattere"/>
    <w:qFormat/>
    <w:rsid w:val="005A2954"/>
    <w:pPr>
      <w:keepNext/>
      <w:spacing w:after="0" w:line="240" w:lineRule="auto"/>
      <w:ind w:left="180" w:right="98"/>
      <w:jc w:val="center"/>
      <w:outlineLvl w:val="4"/>
    </w:pPr>
    <w:rPr>
      <w:rFonts w:ascii="Arial Unicode MS" w:eastAsia="Arial Unicode MS" w:hAnsi="Arial Unicode MS" w:cs="Times New Roman"/>
      <w:i/>
      <w:sz w:val="26"/>
      <w:szCs w:val="24"/>
    </w:rPr>
  </w:style>
  <w:style w:type="paragraph" w:styleId="Titolo7">
    <w:name w:val="heading 7"/>
    <w:basedOn w:val="Normale"/>
    <w:next w:val="Normale"/>
    <w:link w:val="Titolo7Carattere"/>
    <w:qFormat/>
    <w:rsid w:val="005A2954"/>
    <w:pPr>
      <w:keepNext/>
      <w:spacing w:after="0" w:line="240" w:lineRule="auto"/>
      <w:outlineLvl w:val="6"/>
    </w:pPr>
    <w:rPr>
      <w:rFonts w:ascii="Arial Unicode MS" w:eastAsia="Arial Unicode MS" w:hAnsi="Arial Unicode MS" w:cs="Times New Roman"/>
      <w:i/>
      <w:sz w:val="24"/>
      <w:szCs w:val="24"/>
    </w:rPr>
  </w:style>
  <w:style w:type="paragraph" w:styleId="Titolo8">
    <w:name w:val="heading 8"/>
    <w:basedOn w:val="Normale"/>
    <w:next w:val="Normale"/>
    <w:link w:val="Titolo8Carattere"/>
    <w:qFormat/>
    <w:rsid w:val="005A2954"/>
    <w:pPr>
      <w:keepNext/>
      <w:spacing w:after="0" w:line="240" w:lineRule="auto"/>
      <w:ind w:firstLine="661"/>
      <w:outlineLvl w:val="7"/>
    </w:pPr>
    <w:rPr>
      <w:rFonts w:ascii="Arial Unicode MS" w:eastAsia="Arial Unicode MS" w:hAnsi="Arial Unicode MS" w:cs="Times New Roman"/>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A2954"/>
    <w:rPr>
      <w:rFonts w:ascii="Arial Unicode MS" w:eastAsia="Arial Unicode MS" w:hAnsi="Arial Unicode MS" w:cs="Times New Roman"/>
      <w:i/>
      <w:sz w:val="24"/>
      <w:szCs w:val="24"/>
    </w:rPr>
  </w:style>
  <w:style w:type="character" w:customStyle="1" w:styleId="Titolo5Carattere">
    <w:name w:val="Titolo 5 Carattere"/>
    <w:basedOn w:val="Carpredefinitoparagrafo"/>
    <w:link w:val="Titolo5"/>
    <w:rsid w:val="005A2954"/>
    <w:rPr>
      <w:rFonts w:ascii="Arial Unicode MS" w:eastAsia="Arial Unicode MS" w:hAnsi="Arial Unicode MS" w:cs="Times New Roman"/>
      <w:i/>
      <w:sz w:val="26"/>
      <w:szCs w:val="24"/>
    </w:rPr>
  </w:style>
  <w:style w:type="character" w:customStyle="1" w:styleId="Titolo7Carattere">
    <w:name w:val="Titolo 7 Carattere"/>
    <w:basedOn w:val="Carpredefinitoparagrafo"/>
    <w:link w:val="Titolo7"/>
    <w:rsid w:val="005A2954"/>
    <w:rPr>
      <w:rFonts w:ascii="Arial Unicode MS" w:eastAsia="Arial Unicode MS" w:hAnsi="Arial Unicode MS" w:cs="Times New Roman"/>
      <w:i/>
      <w:sz w:val="24"/>
      <w:szCs w:val="24"/>
    </w:rPr>
  </w:style>
  <w:style w:type="character" w:customStyle="1" w:styleId="Titolo8Carattere">
    <w:name w:val="Titolo 8 Carattere"/>
    <w:basedOn w:val="Carpredefinitoparagrafo"/>
    <w:link w:val="Titolo8"/>
    <w:rsid w:val="005A2954"/>
    <w:rPr>
      <w:rFonts w:ascii="Arial Unicode MS" w:eastAsia="Arial Unicode MS" w:hAnsi="Arial Unicode MS" w:cs="Times New Roman"/>
      <w:i/>
      <w:sz w:val="24"/>
      <w:szCs w:val="24"/>
    </w:rPr>
  </w:style>
  <w:style w:type="paragraph" w:styleId="Testodelblocco">
    <w:name w:val="Block Text"/>
    <w:basedOn w:val="Normale"/>
    <w:rsid w:val="005A2954"/>
    <w:pPr>
      <w:spacing w:after="120" w:line="360" w:lineRule="auto"/>
      <w:ind w:left="180" w:right="98" w:firstLine="540"/>
    </w:pPr>
    <w:rPr>
      <w:rFonts w:ascii="Arial Unicode MS" w:eastAsia="Arial Unicode MS" w:hAnsi="Arial Unicode MS" w:cs="Times New Roman"/>
      <w:i/>
      <w:sz w:val="24"/>
      <w:szCs w:val="24"/>
    </w:rPr>
  </w:style>
  <w:style w:type="paragraph" w:styleId="Corpodeltesto3">
    <w:name w:val="Body Text 3"/>
    <w:basedOn w:val="Normale"/>
    <w:link w:val="Corpodeltesto3Carattere"/>
    <w:rsid w:val="005A2954"/>
    <w:pPr>
      <w:spacing w:after="0" w:line="360" w:lineRule="auto"/>
      <w:jc w:val="both"/>
    </w:pPr>
    <w:rPr>
      <w:rFonts w:ascii="Verdana" w:eastAsia="Arial Unicode MS" w:hAnsi="Verdana" w:cs="Times New Roman"/>
      <w:sz w:val="20"/>
      <w:szCs w:val="24"/>
    </w:rPr>
  </w:style>
  <w:style w:type="character" w:customStyle="1" w:styleId="Corpodeltesto3Carattere">
    <w:name w:val="Corpo del testo 3 Carattere"/>
    <w:basedOn w:val="Carpredefinitoparagrafo"/>
    <w:link w:val="Corpodeltesto3"/>
    <w:rsid w:val="005A2954"/>
    <w:rPr>
      <w:rFonts w:ascii="Verdana" w:eastAsia="Arial Unicode MS" w:hAnsi="Verdana" w:cs="Times New Roman"/>
      <w:sz w:val="20"/>
      <w:szCs w:val="24"/>
    </w:rPr>
  </w:style>
  <w:style w:type="paragraph" w:styleId="Corpotesto">
    <w:name w:val="Body Text"/>
    <w:basedOn w:val="Normale"/>
    <w:link w:val="CorpotestoCarattere"/>
    <w:uiPriority w:val="99"/>
    <w:unhideWhenUsed/>
    <w:rsid w:val="001B048E"/>
    <w:pPr>
      <w:spacing w:after="120"/>
    </w:pPr>
  </w:style>
  <w:style w:type="character" w:customStyle="1" w:styleId="CorpotestoCarattere">
    <w:name w:val="Corpo testo Carattere"/>
    <w:basedOn w:val="Carpredefinitoparagrafo"/>
    <w:link w:val="Corpotesto"/>
    <w:uiPriority w:val="99"/>
    <w:rsid w:val="001B048E"/>
  </w:style>
  <w:style w:type="paragraph" w:styleId="Intestazione">
    <w:name w:val="header"/>
    <w:basedOn w:val="Normale"/>
    <w:link w:val="IntestazioneCarattere"/>
    <w:uiPriority w:val="99"/>
    <w:unhideWhenUsed/>
    <w:rsid w:val="008004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0417"/>
  </w:style>
  <w:style w:type="paragraph" w:styleId="Pidipagina">
    <w:name w:val="footer"/>
    <w:basedOn w:val="Normale"/>
    <w:link w:val="PidipaginaCarattere"/>
    <w:uiPriority w:val="99"/>
    <w:unhideWhenUsed/>
    <w:rsid w:val="008004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0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5A2954"/>
    <w:pPr>
      <w:keepNext/>
      <w:spacing w:before="100" w:after="100" w:line="240" w:lineRule="auto"/>
      <w:ind w:left="180" w:right="98"/>
      <w:jc w:val="center"/>
      <w:outlineLvl w:val="3"/>
    </w:pPr>
    <w:rPr>
      <w:rFonts w:ascii="Arial Unicode MS" w:eastAsia="Arial Unicode MS" w:hAnsi="Arial Unicode MS" w:cs="Times New Roman"/>
      <w:i/>
      <w:sz w:val="24"/>
      <w:szCs w:val="24"/>
    </w:rPr>
  </w:style>
  <w:style w:type="paragraph" w:styleId="Titolo5">
    <w:name w:val="heading 5"/>
    <w:basedOn w:val="Normale"/>
    <w:next w:val="Normale"/>
    <w:link w:val="Titolo5Carattere"/>
    <w:qFormat/>
    <w:rsid w:val="005A2954"/>
    <w:pPr>
      <w:keepNext/>
      <w:spacing w:after="0" w:line="240" w:lineRule="auto"/>
      <w:ind w:left="180" w:right="98"/>
      <w:jc w:val="center"/>
      <w:outlineLvl w:val="4"/>
    </w:pPr>
    <w:rPr>
      <w:rFonts w:ascii="Arial Unicode MS" w:eastAsia="Arial Unicode MS" w:hAnsi="Arial Unicode MS" w:cs="Times New Roman"/>
      <w:i/>
      <w:sz w:val="26"/>
      <w:szCs w:val="24"/>
    </w:rPr>
  </w:style>
  <w:style w:type="paragraph" w:styleId="Titolo7">
    <w:name w:val="heading 7"/>
    <w:basedOn w:val="Normale"/>
    <w:next w:val="Normale"/>
    <w:link w:val="Titolo7Carattere"/>
    <w:qFormat/>
    <w:rsid w:val="005A2954"/>
    <w:pPr>
      <w:keepNext/>
      <w:spacing w:after="0" w:line="240" w:lineRule="auto"/>
      <w:outlineLvl w:val="6"/>
    </w:pPr>
    <w:rPr>
      <w:rFonts w:ascii="Arial Unicode MS" w:eastAsia="Arial Unicode MS" w:hAnsi="Arial Unicode MS" w:cs="Times New Roman"/>
      <w:i/>
      <w:sz w:val="24"/>
      <w:szCs w:val="24"/>
    </w:rPr>
  </w:style>
  <w:style w:type="paragraph" w:styleId="Titolo8">
    <w:name w:val="heading 8"/>
    <w:basedOn w:val="Normale"/>
    <w:next w:val="Normale"/>
    <w:link w:val="Titolo8Carattere"/>
    <w:qFormat/>
    <w:rsid w:val="005A2954"/>
    <w:pPr>
      <w:keepNext/>
      <w:spacing w:after="0" w:line="240" w:lineRule="auto"/>
      <w:ind w:firstLine="661"/>
      <w:outlineLvl w:val="7"/>
    </w:pPr>
    <w:rPr>
      <w:rFonts w:ascii="Arial Unicode MS" w:eastAsia="Arial Unicode MS" w:hAnsi="Arial Unicode MS" w:cs="Times New Roman"/>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5A2954"/>
    <w:rPr>
      <w:rFonts w:ascii="Arial Unicode MS" w:eastAsia="Arial Unicode MS" w:hAnsi="Arial Unicode MS" w:cs="Times New Roman"/>
      <w:i/>
      <w:sz w:val="24"/>
      <w:szCs w:val="24"/>
    </w:rPr>
  </w:style>
  <w:style w:type="character" w:customStyle="1" w:styleId="Titolo5Carattere">
    <w:name w:val="Titolo 5 Carattere"/>
    <w:basedOn w:val="Carpredefinitoparagrafo"/>
    <w:link w:val="Titolo5"/>
    <w:rsid w:val="005A2954"/>
    <w:rPr>
      <w:rFonts w:ascii="Arial Unicode MS" w:eastAsia="Arial Unicode MS" w:hAnsi="Arial Unicode MS" w:cs="Times New Roman"/>
      <w:i/>
      <w:sz w:val="26"/>
      <w:szCs w:val="24"/>
    </w:rPr>
  </w:style>
  <w:style w:type="character" w:customStyle="1" w:styleId="Titolo7Carattere">
    <w:name w:val="Titolo 7 Carattere"/>
    <w:basedOn w:val="Carpredefinitoparagrafo"/>
    <w:link w:val="Titolo7"/>
    <w:rsid w:val="005A2954"/>
    <w:rPr>
      <w:rFonts w:ascii="Arial Unicode MS" w:eastAsia="Arial Unicode MS" w:hAnsi="Arial Unicode MS" w:cs="Times New Roman"/>
      <w:i/>
      <w:sz w:val="24"/>
      <w:szCs w:val="24"/>
    </w:rPr>
  </w:style>
  <w:style w:type="character" w:customStyle="1" w:styleId="Titolo8Carattere">
    <w:name w:val="Titolo 8 Carattere"/>
    <w:basedOn w:val="Carpredefinitoparagrafo"/>
    <w:link w:val="Titolo8"/>
    <w:rsid w:val="005A2954"/>
    <w:rPr>
      <w:rFonts w:ascii="Arial Unicode MS" w:eastAsia="Arial Unicode MS" w:hAnsi="Arial Unicode MS" w:cs="Times New Roman"/>
      <w:i/>
      <w:sz w:val="24"/>
      <w:szCs w:val="24"/>
    </w:rPr>
  </w:style>
  <w:style w:type="paragraph" w:styleId="Testodelblocco">
    <w:name w:val="Block Text"/>
    <w:basedOn w:val="Normale"/>
    <w:rsid w:val="005A2954"/>
    <w:pPr>
      <w:spacing w:after="120" w:line="360" w:lineRule="auto"/>
      <w:ind w:left="180" w:right="98" w:firstLine="540"/>
    </w:pPr>
    <w:rPr>
      <w:rFonts w:ascii="Arial Unicode MS" w:eastAsia="Arial Unicode MS" w:hAnsi="Arial Unicode MS" w:cs="Times New Roman"/>
      <w:i/>
      <w:sz w:val="24"/>
      <w:szCs w:val="24"/>
    </w:rPr>
  </w:style>
  <w:style w:type="paragraph" w:styleId="Corpodeltesto3">
    <w:name w:val="Body Text 3"/>
    <w:basedOn w:val="Normale"/>
    <w:link w:val="Corpodeltesto3Carattere"/>
    <w:rsid w:val="005A2954"/>
    <w:pPr>
      <w:spacing w:after="0" w:line="360" w:lineRule="auto"/>
      <w:jc w:val="both"/>
    </w:pPr>
    <w:rPr>
      <w:rFonts w:ascii="Verdana" w:eastAsia="Arial Unicode MS" w:hAnsi="Verdana" w:cs="Times New Roman"/>
      <w:sz w:val="20"/>
      <w:szCs w:val="24"/>
    </w:rPr>
  </w:style>
  <w:style w:type="character" w:customStyle="1" w:styleId="Corpodeltesto3Carattere">
    <w:name w:val="Corpo del testo 3 Carattere"/>
    <w:basedOn w:val="Carpredefinitoparagrafo"/>
    <w:link w:val="Corpodeltesto3"/>
    <w:rsid w:val="005A2954"/>
    <w:rPr>
      <w:rFonts w:ascii="Verdana" w:eastAsia="Arial Unicode MS" w:hAnsi="Verdana" w:cs="Times New Roman"/>
      <w:sz w:val="20"/>
      <w:szCs w:val="24"/>
    </w:rPr>
  </w:style>
  <w:style w:type="paragraph" w:styleId="Corpotesto">
    <w:name w:val="Body Text"/>
    <w:basedOn w:val="Normale"/>
    <w:link w:val="CorpotestoCarattere"/>
    <w:uiPriority w:val="99"/>
    <w:unhideWhenUsed/>
    <w:rsid w:val="001B048E"/>
    <w:pPr>
      <w:spacing w:after="120"/>
    </w:pPr>
  </w:style>
  <w:style w:type="character" w:customStyle="1" w:styleId="CorpotestoCarattere">
    <w:name w:val="Corpo testo Carattere"/>
    <w:basedOn w:val="Carpredefinitoparagrafo"/>
    <w:link w:val="Corpotesto"/>
    <w:uiPriority w:val="99"/>
    <w:rsid w:val="001B048E"/>
  </w:style>
  <w:style w:type="paragraph" w:styleId="Intestazione">
    <w:name w:val="header"/>
    <w:basedOn w:val="Normale"/>
    <w:link w:val="IntestazioneCarattere"/>
    <w:uiPriority w:val="99"/>
    <w:unhideWhenUsed/>
    <w:rsid w:val="008004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0417"/>
  </w:style>
  <w:style w:type="paragraph" w:styleId="Pidipagina">
    <w:name w:val="footer"/>
    <w:basedOn w:val="Normale"/>
    <w:link w:val="PidipaginaCarattere"/>
    <w:uiPriority w:val="99"/>
    <w:unhideWhenUsed/>
    <w:rsid w:val="008004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Caprino</dc:creator>
  <cp:lastModifiedBy>FILINGERI CARMELO</cp:lastModifiedBy>
  <cp:revision>2</cp:revision>
  <dcterms:created xsi:type="dcterms:W3CDTF">2015-04-21T12:04:00Z</dcterms:created>
  <dcterms:modified xsi:type="dcterms:W3CDTF">2015-04-21T12:04:00Z</dcterms:modified>
</cp:coreProperties>
</file>